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para ejecutar Attenti-ON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carpeta EyeBlink Master contiene los scripts para eliminación del pestañeo. Descargarla como está y agregarla al path.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archivo ‘ARSignalProcessingATTENTION.prm’, dentro de </w:t>
      </w:r>
      <w:r w:rsidDel="00000000" w:rsidR="00000000" w:rsidRPr="00000000">
        <w:rPr>
          <w:i w:val="1"/>
          <w:rtl w:val="0"/>
        </w:rPr>
        <w:t xml:space="preserve">BCI2000.x64.Extensions/prog</w:t>
      </w:r>
      <w:r w:rsidDel="00000000" w:rsidR="00000000" w:rsidRPr="00000000">
        <w:rPr>
          <w:rtl w:val="0"/>
        </w:rPr>
        <w:t xml:space="preserve"> contiene los parámetros de BCI2000. Se deben modificar para utilizar el amplificador que se escoja. También por esta razón deben modificarse las líneas comentadas oportunamente en los scripts PROBAR_ELECTRODOS, CALIBRAR y SESION_ENTRENAMIENTO.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script de BCI2000 automation se incluye sólo como referencia, no está directamente llamado en el código de Attenti-ON.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Nota: para que funcione “BCI2000 automation” se deben seguir las instrucciones al principio de ese script (que requieren instalación y reinicio). Luego de modificar los scripts correspondientes, Attenti-ON debe RECOMPILARSE mediante el AppDesigner de MATLAB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Nota 2: una vez que termine una sesión (ya sea la calibración o el entrenamiento), hay que salir de la interfaz de BCI2000 </w:t>
      </w:r>
      <w:r w:rsidDel="00000000" w:rsidR="00000000" w:rsidRPr="00000000">
        <w:rPr>
          <w:b w:val="1"/>
          <w:i w:val="1"/>
          <w:rtl w:val="0"/>
        </w:rPr>
        <w:t xml:space="preserve">ANTES </w:t>
      </w:r>
      <w:r w:rsidDel="00000000" w:rsidR="00000000" w:rsidRPr="00000000">
        <w:rPr>
          <w:rtl w:val="0"/>
        </w:rPr>
        <w:t xml:space="preserve">de poner “volver al menú” en el juego. Sino, provoca un crash.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Instalar la versión de BCI2000 que está en la carpeta “Ejecutable” (BCI2000.x64.Extensions).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