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8B4513"/>
        </w:rPr>
        <w:t xml:space="preserve">MarketCraft × Titre Professionnel CDA</w:t>
      </w:r>
    </w:p>
    <w:p>
      <w:pPr>
        <w:spacing w:after="200"/>
      </w:pPr>
      <w:r>
        <w:rPr>
          <w:i/>
          <w:iCs/>
        </w:rPr>
        <w:t xml:space="preserve">Tableau de correspondance entre le projet MarketCraft et les 15 compétences professionnelles du référentiel (TP-01281, REAC CDA)</w:t>
      </w:r>
    </w:p>
    <w:p>
      <w:pPr>
        <w:spacing w:after="100"/>
      </w:pPr>
      <w:r>
        <w:rPr>
          <w:sz w:val="20"/>
          <w:szCs w:val="20"/>
        </w:rPr>
        <w:t xml:space="preserve">Méthodologie : chaque compétence a été confrontée aux livrables réels du dépôt (code backend/frontend/mobile, documentation docs/, scripts SQL, tests, maquettes). Trois statuts sont utilisés : </w:t>
      </w:r>
    </w:p>
    <w:p>
      <w:pPr>
        <w:spacing w:after="200"/>
      </w:pPr>
      <w:r>
        <w:rPr>
          <w:b/>
          <w:bCs/>
          <w:sz w:val="20"/>
          <w:szCs w:val="20"/>
          <w:shd w:fill="D9EAD3" w:val="clear"/>
        </w:rPr>
        <w:t xml:space="preserve">Validé</w:t>
      </w:r>
      <w:r>
        <w:rPr>
          <w:sz w:val="20"/>
          <w:szCs w:val="20"/>
        </w:rPr>
        <w:t xml:space="preserve"> (preuves solides et directes)   ·   </w:t>
      </w:r>
      <w:r>
        <w:rPr>
          <w:b/>
          <w:bCs/>
          <w:sz w:val="20"/>
          <w:szCs w:val="20"/>
          <w:shd w:fill="FFF2CC" w:val="clear"/>
        </w:rPr>
        <w:t xml:space="preserve">Partiel</w:t>
      </w:r>
      <w:r>
        <w:rPr>
          <w:sz w:val="20"/>
          <w:szCs w:val="20"/>
        </w:rPr>
        <w:t xml:space="preserve"> (preuves indirectes ou incomplètes)   ·   </w:t>
      </w:r>
      <w:r>
        <w:rPr>
          <w:b/>
          <w:bCs/>
          <w:sz w:val="20"/>
          <w:szCs w:val="20"/>
          <w:shd w:fill="F4CCCC" w:val="clear"/>
        </w:rPr>
        <w:t xml:space="preserve">Manquant</w:t>
      </w:r>
      <w:r>
        <w:rPr>
          <w:sz w:val="20"/>
          <w:szCs w:val="20"/>
        </w:rPr>
        <w:t xml:space="preserve"> (aucune preuve trouvée dans le dépôt).</w:t>
      </w:r>
    </w:p>
    <w:p>
      <w:pPr>
        <w:pStyle w:val="Heading1"/>
        <w:spacing w:after="150" w:before="300"/>
      </w:pPr>
      <w:r>
        <w:rPr>
          <w:color w:val="8B4513"/>
        </w:rPr>
        <w:t xml:space="preserve">Bloc 1 — Concevoir et développer des composants d'interface utilisateur</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700"/>
        <w:gridCol w:w="1400"/>
        <w:gridCol w:w="5600"/>
        <w:gridCol w:w="5000"/>
      </w:tblGrid>
      <w:tr>
        <w:trPr>
          <w:tblHeader/>
        </w:trPr>
        <w:tc>
          <w:tcPr>
            <w:tcW w:type="dxa" w:w="700"/>
            <w:shd w:fill="8B4513" w:val="clear"/>
            <w:vAlign w:val="center"/>
          </w:tcPr>
          <w:p>
            <w:r>
              <w:rPr>
                <w:b/>
                <w:bCs/>
                <w:color w:val="FFFFFF"/>
                <w:sz w:val="19"/>
                <w:szCs w:val="19"/>
              </w:rPr>
              <w:t xml:space="preserve">N°</w:t>
            </w:r>
          </w:p>
        </w:tc>
        <w:tc>
          <w:tcPr>
            <w:tcW w:type="dxa" w:w="2700"/>
            <w:shd w:fill="8B4513" w:val="clear"/>
            <w:vAlign w:val="center"/>
          </w:tcPr>
          <w:p>
            <w:r>
              <w:rPr>
                <w:b/>
                <w:bCs/>
                <w:color w:val="FFFFFF"/>
                <w:sz w:val="19"/>
                <w:szCs w:val="19"/>
              </w:rPr>
              <w:t xml:space="preserve">Compétence</w:t>
            </w:r>
          </w:p>
        </w:tc>
        <w:tc>
          <w:tcPr>
            <w:tcW w:type="dxa" w:w="1400"/>
            <w:shd w:fill="8B4513" w:val="clear"/>
            <w:vAlign w:val="center"/>
          </w:tcPr>
          <w:p>
            <w:r>
              <w:rPr>
                <w:b/>
                <w:bCs/>
                <w:color w:val="FFFFFF"/>
                <w:sz w:val="19"/>
                <w:szCs w:val="19"/>
              </w:rPr>
              <w:t xml:space="preserve">Statut</w:t>
            </w:r>
          </w:p>
        </w:tc>
        <w:tc>
          <w:tcPr>
            <w:tcW w:type="dxa" w:w="5600"/>
            <w:shd w:fill="8B4513" w:val="clear"/>
            <w:vAlign w:val="center"/>
          </w:tcPr>
          <w:p>
            <w:r>
              <w:rPr>
                <w:b/>
                <w:bCs/>
                <w:color w:val="FFFFFF"/>
                <w:sz w:val="19"/>
                <w:szCs w:val="19"/>
              </w:rPr>
              <w:t xml:space="preserve">Preuves dans le projet MarketCraft</w:t>
            </w:r>
          </w:p>
        </w:tc>
        <w:tc>
          <w:tcPr>
            <w:tcW w:type="dxa" w:w="5000"/>
            <w:shd w:fill="8B4513" w:val="clear"/>
            <w:vAlign w:val="center"/>
          </w:tcPr>
          <w:p>
            <w:r>
              <w:rPr>
                <w:b/>
                <w:bCs/>
                <w:color w:val="FFFFFF"/>
                <w:sz w:val="19"/>
                <w:szCs w:val="19"/>
              </w:rPr>
              <w:t xml:space="preserve">Observations</w:t>
            </w:r>
          </w:p>
        </w:tc>
      </w:tr>
      <w:tr>
        <w:tc>
          <w:tcPr>
            <w:tcW w:type="dxa" w:w="700"/>
            <w:vAlign w:val="center"/>
          </w:tcPr>
          <w:p>
            <w:pPr>
              <w:spacing w:after="0"/>
            </w:pPr>
            <w:r>
              <w:rPr>
                <w:b/>
                <w:bCs/>
                <w:sz w:val="18"/>
                <w:szCs w:val="18"/>
              </w:rPr>
              <w:t xml:space="preserve">1</w:t>
            </w:r>
          </w:p>
        </w:tc>
        <w:tc>
          <w:tcPr>
            <w:tcW w:type="dxa" w:w="2700"/>
            <w:vAlign w:val="center"/>
          </w:tcPr>
          <w:p>
            <w:pPr>
              <w:spacing w:after="0"/>
            </w:pPr>
            <w:r>
              <w:rPr>
                <w:b/>
                <w:bCs/>
                <w:sz w:val="18"/>
                <w:szCs w:val="18"/>
              </w:rPr>
              <w:t xml:space="preserve">Maquetter une application</w:t>
            </w:r>
          </w:p>
        </w:tc>
        <w:tc>
          <w:tcPr>
            <w:tcW w:type="dxa" w:w="1400"/>
            <w:shd w:fill="D9EAD3" w:val="clear"/>
            <w:vAlign w:val="center"/>
          </w:tcPr>
          <w:p>
            <w:pPr>
              <w:jc w:val="center"/>
            </w:pPr>
            <w:r>
              <w:rPr>
                <w:b/>
                <w:bCs/>
                <w:sz w:val="18"/>
                <w:szCs w:val="18"/>
              </w:rPr>
              <w:t xml:space="preserve">Validé</w:t>
            </w:r>
          </w:p>
        </w:tc>
        <w:tc>
          <w:tcPr>
            <w:tcW w:type="dxa" w:w="5600"/>
            <w:vAlign w:val="center"/>
          </w:tcPr>
          <w:p>
            <w:pPr>
              <w:spacing w:after="60"/>
            </w:pPr>
            <w:r>
              <w:rPr>
                <w:b w:val="false"/>
                <w:bCs w:val="false"/>
                <w:sz w:val="18"/>
                <w:szCs w:val="18"/>
              </w:rPr>
              <w:t xml:space="preserve">MarketCraft-maquettes.pptx — maquettes des écrans</w:t>
            </w:r>
          </w:p>
          <w:p>
            <w:pPr>
              <w:spacing w:after="60"/>
            </w:pPr>
            <w:r>
              <w:rPr>
                <w:b w:val="false"/>
                <w:bCs w:val="false"/>
                <w:sz w:val="18"/>
                <w:szCs w:val="18"/>
              </w:rPr>
              <w:t xml:space="preserve">marketcraft-moodboard.html — charte graphique (palette, typographie Inter/Georgia)</w:t>
            </w:r>
          </w:p>
          <w:p>
            <w:pPr>
              <w:spacing w:after="60"/>
            </w:pPr>
            <w:r>
              <w:rPr>
                <w:b w:val="false"/>
                <w:bCs w:val="false"/>
                <w:sz w:val="18"/>
                <w:szCs w:val="18"/>
              </w:rPr>
              <w:t xml:space="preserve">docs/12_cas_utilisation.md — cas d'utilisation base du maquettage</w:t>
            </w:r>
          </w:p>
          <w:p>
            <w:pPr>
              <w:spacing w:after="60"/>
            </w:pPr>
            <w:r>
              <w:rPr>
                <w:b w:val="false"/>
                <w:bCs w:val="false"/>
                <w:sz w:val="18"/>
                <w:szCs w:val="18"/>
              </w:rPr>
              <w:t xml:space="preserve">docs/05, 06, 07 — diagrammes d'activité (enchaînements d'écrans par parcours)</w:t>
            </w:r>
          </w:p>
          <w:p>
            <w:pPr>
              <w:spacing w:after="0"/>
            </w:pPr>
            <w:r>
              <w:rPr>
                <w:b w:val="false"/>
                <w:bCs w:val="false"/>
                <w:sz w:val="18"/>
                <w:szCs w:val="18"/>
              </w:rPr>
              <w:t xml:space="preserve">Prototype Figma cliquable — 11 écrans liés (parcours acheteur, auth, dashboard vendeur)</w:t>
            </w:r>
          </w:p>
        </w:tc>
        <w:tc>
          <w:tcPr>
            <w:tcW w:type="dxa" w:w="5000"/>
            <w:vAlign w:val="center"/>
          </w:tcPr>
          <w:p>
            <w:pPr>
              <w:spacing w:after="0"/>
            </w:pPr>
            <w:r>
              <w:rPr>
                <w:b w:val="false"/>
                <w:bCs w:val="false"/>
                <w:sz w:val="18"/>
                <w:szCs w:val="18"/>
              </w:rPr>
              <w:t xml:space="preserve">Bien couvert : maquettes statiques + moodboard + prototype interactif Figma avec enchaînements validés.</w:t>
            </w:r>
          </w:p>
        </w:tc>
      </w:tr>
      <w:tr>
        <w:tc>
          <w:tcPr>
            <w:tcW w:type="dxa" w:w="700"/>
            <w:vAlign w:val="center"/>
          </w:tcPr>
          <w:p>
            <w:pPr>
              <w:spacing w:after="0"/>
            </w:pPr>
            <w:r>
              <w:rPr>
                <w:b/>
                <w:bCs/>
                <w:sz w:val="18"/>
                <w:szCs w:val="18"/>
              </w:rPr>
              <w:t xml:space="preserve">2</w:t>
            </w:r>
          </w:p>
        </w:tc>
        <w:tc>
          <w:tcPr>
            <w:tcW w:type="dxa" w:w="2700"/>
            <w:vAlign w:val="center"/>
          </w:tcPr>
          <w:p>
            <w:pPr>
              <w:spacing w:after="0"/>
            </w:pPr>
            <w:r>
              <w:rPr>
                <w:b/>
                <w:bCs/>
                <w:sz w:val="18"/>
                <w:szCs w:val="18"/>
              </w:rPr>
              <w:t xml:space="preserve">Développer une interface utilisateur de type desktop</w:t>
            </w:r>
          </w:p>
        </w:tc>
        <w:tc>
          <w:tcPr>
            <w:tcW w:type="dxa" w:w="1400"/>
            <w:shd w:fill="F4CCCC" w:val="clear"/>
            <w:vAlign w:val="center"/>
          </w:tcPr>
          <w:p>
            <w:pPr>
              <w:jc w:val="center"/>
            </w:pPr>
            <w:r>
              <w:rPr>
                <w:b/>
                <w:bCs/>
                <w:sz w:val="18"/>
                <w:szCs w:val="18"/>
              </w:rPr>
              <w:t xml:space="preserve">Manquant</w:t>
            </w:r>
          </w:p>
        </w:tc>
        <w:tc>
          <w:tcPr>
            <w:tcW w:type="dxa" w:w="5600"/>
            <w:vAlign w:val="center"/>
          </w:tcPr>
          <w:p>
            <w:pPr>
              <w:spacing w:after="0"/>
            </w:pPr>
            <w:r>
              <w:rPr>
                <w:b w:val="false"/>
                <w:bCs w:val="false"/>
                <w:sz w:val="18"/>
                <w:szCs w:val="18"/>
              </w:rPr>
              <w:t xml:space="preserve">Aucune preuve trouvée dans le dépôt</w:t>
            </w:r>
          </w:p>
        </w:tc>
        <w:tc>
          <w:tcPr>
            <w:tcW w:type="dxa" w:w="5000"/>
            <w:vAlign w:val="center"/>
          </w:tcPr>
          <w:p>
            <w:pPr>
              <w:spacing w:after="0"/>
            </w:pPr>
            <w:r>
              <w:rPr>
                <w:b w:val="false"/>
                <w:bCs w:val="false"/>
                <w:sz w:val="18"/>
                <w:szCs w:val="18"/>
              </w:rPr>
              <w:t xml:space="preserve">Le projet ne comporte qu'une interface web (React) et mobile (React Native) — pas de client lourd desktop (Electron, WinForms, JavaFX...). À combler par un module desktop dédié ou un autre projet du dossier.</w:t>
            </w:r>
          </w:p>
        </w:tc>
      </w:tr>
      <w:tr>
        <w:tc>
          <w:tcPr>
            <w:tcW w:type="dxa" w:w="700"/>
            <w:vAlign w:val="center"/>
          </w:tcPr>
          <w:p>
            <w:pPr>
              <w:spacing w:after="0"/>
            </w:pPr>
            <w:r>
              <w:rPr>
                <w:b/>
                <w:bCs/>
                <w:sz w:val="18"/>
                <w:szCs w:val="18"/>
              </w:rPr>
              <w:t xml:space="preserve">3</w:t>
            </w:r>
          </w:p>
        </w:tc>
        <w:tc>
          <w:tcPr>
            <w:tcW w:type="dxa" w:w="2700"/>
            <w:vAlign w:val="center"/>
          </w:tcPr>
          <w:p>
            <w:pPr>
              <w:spacing w:after="0"/>
            </w:pPr>
            <w:r>
              <w:rPr>
                <w:b/>
                <w:bCs/>
                <w:sz w:val="18"/>
                <w:szCs w:val="18"/>
              </w:rPr>
              <w:t xml:space="preserve">Développer des composants d'accès aux données</w:t>
            </w:r>
          </w:p>
        </w:tc>
        <w:tc>
          <w:tcPr>
            <w:tcW w:type="dxa" w:w="1400"/>
            <w:shd w:fill="D9EAD3" w:val="clear"/>
            <w:vAlign w:val="center"/>
          </w:tcPr>
          <w:p>
            <w:pPr>
              <w:jc w:val="center"/>
            </w:pPr>
            <w:r>
              <w:rPr>
                <w:b/>
                <w:bCs/>
                <w:sz w:val="18"/>
                <w:szCs w:val="18"/>
              </w:rPr>
              <w:t xml:space="preserve">Validé</w:t>
            </w:r>
          </w:p>
        </w:tc>
        <w:tc>
          <w:tcPr>
            <w:tcW w:type="dxa" w:w="5600"/>
            <w:vAlign w:val="center"/>
          </w:tcPr>
          <w:p>
            <w:pPr>
              <w:spacing w:after="60"/>
            </w:pPr>
            <w:r>
              <w:rPr>
                <w:b w:val="false"/>
                <w:bCs w:val="false"/>
                <w:sz w:val="18"/>
                <w:szCs w:val="18"/>
              </w:rPr>
              <w:t xml:space="preserve">app/Models/*.php (User, Product, Boutique, Order, Payment, Avis) — PDO + requêtes préparées</w:t>
            </w:r>
          </w:p>
          <w:p>
            <w:pPr>
              <w:spacing w:after="60"/>
            </w:pPr>
            <w:r>
              <w:rPr>
                <w:b w:val="false"/>
                <w:bCs w:val="false"/>
                <w:sz w:val="18"/>
                <w:szCs w:val="18"/>
              </w:rPr>
              <w:t xml:space="preserve">Order.php — create() en transaction atomique, findById(), updateStatus(), cancel()</w:t>
            </w:r>
          </w:p>
          <w:p>
            <w:pPr>
              <w:spacing w:after="0"/>
            </w:pPr>
            <w:r>
              <w:rPr>
                <w:b w:val="false"/>
                <w:bCs w:val="false"/>
                <w:sz w:val="18"/>
                <w:szCs w:val="18"/>
              </w:rPr>
              <w:t xml:space="preserve">app/Config/Database.php — connexion PDO centralisée</w:t>
            </w:r>
          </w:p>
        </w:tc>
        <w:tc>
          <w:tcPr>
            <w:tcW w:type="dxa" w:w="5000"/>
            <w:vAlign w:val="center"/>
          </w:tcPr>
          <w:p>
            <w:pPr>
              <w:spacing w:after="0"/>
            </w:pPr>
            <w:r>
              <w:rPr>
                <w:b w:val="false"/>
                <w:bCs w:val="false"/>
                <w:sz w:val="18"/>
                <w:szCs w:val="18"/>
              </w:rPr>
              <w:t xml:space="preserve">Bon niveau : requêtes paramétrées (anti-injection SQL), transactions, CRUD complet sur les 6 entités principales.</w:t>
            </w:r>
          </w:p>
        </w:tc>
      </w:tr>
      <w:tr>
        <w:tc>
          <w:tcPr>
            <w:tcW w:type="dxa" w:w="700"/>
            <w:vAlign w:val="center"/>
          </w:tcPr>
          <w:p>
            <w:pPr>
              <w:spacing w:after="0"/>
            </w:pPr>
            <w:r>
              <w:rPr>
                <w:b/>
                <w:bCs/>
                <w:sz w:val="18"/>
                <w:szCs w:val="18"/>
              </w:rPr>
              <w:t xml:space="preserve">4</w:t>
            </w:r>
          </w:p>
        </w:tc>
        <w:tc>
          <w:tcPr>
            <w:tcW w:type="dxa" w:w="2700"/>
            <w:vAlign w:val="center"/>
          </w:tcPr>
          <w:p>
            <w:pPr>
              <w:spacing w:after="0"/>
            </w:pPr>
            <w:r>
              <w:rPr>
                <w:b/>
                <w:bCs/>
                <w:sz w:val="18"/>
                <w:szCs w:val="18"/>
              </w:rPr>
              <w:t xml:space="preserve">Développer la partie front-end d'une interface utilisateur web</w:t>
            </w:r>
          </w:p>
        </w:tc>
        <w:tc>
          <w:tcPr>
            <w:tcW w:type="dxa" w:w="1400"/>
            <w:shd w:fill="D9EAD3" w:val="clear"/>
            <w:vAlign w:val="center"/>
          </w:tcPr>
          <w:p>
            <w:pPr>
              <w:jc w:val="center"/>
            </w:pPr>
            <w:r>
              <w:rPr>
                <w:b/>
                <w:bCs/>
                <w:sz w:val="18"/>
                <w:szCs w:val="18"/>
              </w:rPr>
              <w:t xml:space="preserve">Validé</w:t>
            </w:r>
          </w:p>
        </w:tc>
        <w:tc>
          <w:tcPr>
            <w:tcW w:type="dxa" w:w="5600"/>
            <w:vAlign w:val="center"/>
          </w:tcPr>
          <w:p>
            <w:pPr>
              <w:spacing w:after="60"/>
            </w:pPr>
            <w:r>
              <w:rPr>
                <w:b w:val="false"/>
                <w:bCs w:val="false"/>
                <w:sz w:val="18"/>
                <w:szCs w:val="18"/>
              </w:rPr>
              <w:t xml:space="preserve">marketcraft-frontend/src — 10 pages React (Home, Products, Cart, Checkout, Dashboard...)</w:t>
            </w:r>
          </w:p>
          <w:p>
            <w:pPr>
              <w:spacing w:after="60"/>
            </w:pPr>
            <w:r>
              <w:rPr>
                <w:b w:val="false"/>
                <w:bCs w:val="false"/>
                <w:sz w:val="18"/>
                <w:szCs w:val="18"/>
              </w:rPr>
              <w:t xml:space="preserve">Contextes AuthContext/CartContext, hooks personnalisés (useAuth, useCart)</w:t>
            </w:r>
          </w:p>
          <w:p>
            <w:pPr>
              <w:spacing w:after="0"/>
            </w:pPr>
            <w:r>
              <w:rPr>
                <w:b w:val="false"/>
                <w:bCs w:val="false"/>
                <w:sz w:val="18"/>
                <w:szCs w:val="18"/>
              </w:rPr>
              <w:t xml:space="preserve">docs/10_architecture.md — couche présentation détaillée (pages, composants, hooks)</w:t>
            </w:r>
          </w:p>
        </w:tc>
        <w:tc>
          <w:tcPr>
            <w:tcW w:type="dxa" w:w="5000"/>
            <w:vAlign w:val="center"/>
          </w:tcPr>
          <w:p>
            <w:pPr>
              <w:spacing w:after="0"/>
            </w:pPr>
            <w:r>
              <w:rPr>
                <w:b w:val="false"/>
                <w:bCs w:val="false"/>
                <w:sz w:val="18"/>
                <w:szCs w:val="18"/>
              </w:rPr>
              <w:t xml:space="preserve">Solide : SPA avec React Router, Context API, Tailwind CSS, composants réutilisables (ProductCard, FilterBar...).</w:t>
            </w:r>
          </w:p>
        </w:tc>
      </w:tr>
      <w:tr>
        <w:tc>
          <w:tcPr>
            <w:tcW w:type="dxa" w:w="700"/>
            <w:vAlign w:val="center"/>
          </w:tcPr>
          <w:p>
            <w:pPr>
              <w:spacing w:after="0"/>
            </w:pPr>
            <w:r>
              <w:rPr>
                <w:b/>
                <w:bCs/>
                <w:sz w:val="18"/>
                <w:szCs w:val="18"/>
              </w:rPr>
              <w:t xml:space="preserve">5</w:t>
            </w:r>
          </w:p>
        </w:tc>
        <w:tc>
          <w:tcPr>
            <w:tcW w:type="dxa" w:w="2700"/>
            <w:vAlign w:val="center"/>
          </w:tcPr>
          <w:p>
            <w:pPr>
              <w:spacing w:after="0"/>
            </w:pPr>
            <w:r>
              <w:rPr>
                <w:b/>
                <w:bCs/>
                <w:sz w:val="18"/>
                <w:szCs w:val="18"/>
              </w:rPr>
              <w:t xml:space="preserve">Développer la partie back-end d'une interface utilisateur web</w:t>
            </w:r>
          </w:p>
        </w:tc>
        <w:tc>
          <w:tcPr>
            <w:tcW w:type="dxa" w:w="1400"/>
            <w:shd w:fill="D9EAD3" w:val="clear"/>
            <w:vAlign w:val="center"/>
          </w:tcPr>
          <w:p>
            <w:pPr>
              <w:jc w:val="center"/>
            </w:pPr>
            <w:r>
              <w:rPr>
                <w:b/>
                <w:bCs/>
                <w:sz w:val="18"/>
                <w:szCs w:val="18"/>
              </w:rPr>
              <w:t xml:space="preserve">Validé</w:t>
            </w:r>
          </w:p>
        </w:tc>
        <w:tc>
          <w:tcPr>
            <w:tcW w:type="dxa" w:w="5600"/>
            <w:vAlign w:val="center"/>
          </w:tcPr>
          <w:p>
            <w:pPr>
              <w:spacing w:after="60"/>
            </w:pPr>
            <w:r>
              <w:rPr>
                <w:b w:val="false"/>
                <w:bCs w:val="false"/>
                <w:sz w:val="18"/>
                <w:szCs w:val="18"/>
              </w:rPr>
              <w:t xml:space="preserve">app/Controllers/*.php — 7 contrôleurs (Auth, Product, Boutique, Order, Avis, Dashboard, Upload)</w:t>
            </w:r>
          </w:p>
          <w:p>
            <w:pPr>
              <w:spacing w:after="60"/>
            </w:pPr>
            <w:r>
              <w:rPr>
                <w:b w:val="false"/>
                <w:bCs w:val="false"/>
                <w:sz w:val="18"/>
                <w:szCs w:val="18"/>
              </w:rPr>
              <w:t xml:space="preserve">routes/web.php — routage REST complet avec middleware 'auth'</w:t>
            </w:r>
          </w:p>
          <w:p>
            <w:pPr>
              <w:spacing w:after="60"/>
            </w:pPr>
            <w:r>
              <w:rPr>
                <w:b w:val="false"/>
                <w:bCs w:val="false"/>
                <w:sz w:val="18"/>
                <w:szCs w:val="18"/>
              </w:rPr>
              <w:t xml:space="preserve">app/Core/Auth.php — JWT HS256, refresh token, rôles, isOwnerOrAdmin()</w:t>
            </w:r>
          </w:p>
          <w:p>
            <w:pPr>
              <w:spacing w:after="0"/>
            </w:pPr>
            <w:r>
              <w:rPr>
                <w:b w:val="false"/>
                <w:bCs w:val="false"/>
                <w:sz w:val="18"/>
                <w:szCs w:val="18"/>
              </w:rPr>
              <w:t xml:space="preserve">tests/AuthTest.php, tests/PasswordTest.php — bcrypt cost 12, vérification hash</w:t>
            </w:r>
          </w:p>
        </w:tc>
        <w:tc>
          <w:tcPr>
            <w:tcW w:type="dxa" w:w="5000"/>
            <w:vAlign w:val="center"/>
          </w:tcPr>
          <w:p>
            <w:pPr>
              <w:spacing w:after="0"/>
            </w:pPr>
            <w:r>
              <w:rPr>
                <w:b w:val="false"/>
                <w:bCs w:val="false"/>
                <w:sz w:val="18"/>
                <w:szCs w:val="18"/>
              </w:rPr>
              <w:t xml:space="preserve">Bonne couverture sécurité : JWT signé, bcrypt, contrôle d'accès par rôle et par propriétaire de ressource.</w:t>
            </w:r>
          </w:p>
        </w:tc>
      </w:tr>
    </w:tbl>
    <w:p>
      <w:pPr>
        <w:pStyle w:val="Heading1"/>
        <w:spacing w:after="150" w:before="300"/>
      </w:pPr>
      <w:r>
        <w:rPr>
          <w:color w:val="8B4513"/>
        </w:rPr>
        <w:t xml:space="preserve">Bloc 2 — Concevoir et développer la persistance des données</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700"/>
        <w:gridCol w:w="1400"/>
        <w:gridCol w:w="5600"/>
        <w:gridCol w:w="5000"/>
      </w:tblGrid>
      <w:tr>
        <w:trPr>
          <w:tblHeader/>
        </w:trPr>
        <w:tc>
          <w:tcPr>
            <w:tcW w:type="dxa" w:w="700"/>
            <w:shd w:fill="8B4513" w:val="clear"/>
            <w:vAlign w:val="center"/>
          </w:tcPr>
          <w:p>
            <w:r>
              <w:rPr>
                <w:b/>
                <w:bCs/>
                <w:color w:val="FFFFFF"/>
                <w:sz w:val="19"/>
                <w:szCs w:val="19"/>
              </w:rPr>
              <w:t xml:space="preserve">N°</w:t>
            </w:r>
          </w:p>
        </w:tc>
        <w:tc>
          <w:tcPr>
            <w:tcW w:type="dxa" w:w="2700"/>
            <w:shd w:fill="8B4513" w:val="clear"/>
            <w:vAlign w:val="center"/>
          </w:tcPr>
          <w:p>
            <w:r>
              <w:rPr>
                <w:b/>
                <w:bCs/>
                <w:color w:val="FFFFFF"/>
                <w:sz w:val="19"/>
                <w:szCs w:val="19"/>
              </w:rPr>
              <w:t xml:space="preserve">Compétence</w:t>
            </w:r>
          </w:p>
        </w:tc>
        <w:tc>
          <w:tcPr>
            <w:tcW w:type="dxa" w:w="1400"/>
            <w:shd w:fill="8B4513" w:val="clear"/>
            <w:vAlign w:val="center"/>
          </w:tcPr>
          <w:p>
            <w:r>
              <w:rPr>
                <w:b/>
                <w:bCs/>
                <w:color w:val="FFFFFF"/>
                <w:sz w:val="19"/>
                <w:szCs w:val="19"/>
              </w:rPr>
              <w:t xml:space="preserve">Statut</w:t>
            </w:r>
          </w:p>
        </w:tc>
        <w:tc>
          <w:tcPr>
            <w:tcW w:type="dxa" w:w="5600"/>
            <w:shd w:fill="8B4513" w:val="clear"/>
            <w:vAlign w:val="center"/>
          </w:tcPr>
          <w:p>
            <w:r>
              <w:rPr>
                <w:b/>
                <w:bCs/>
                <w:color w:val="FFFFFF"/>
                <w:sz w:val="19"/>
                <w:szCs w:val="19"/>
              </w:rPr>
              <w:t xml:space="preserve">Preuves dans le projet MarketCraft</w:t>
            </w:r>
          </w:p>
        </w:tc>
        <w:tc>
          <w:tcPr>
            <w:tcW w:type="dxa" w:w="5000"/>
            <w:shd w:fill="8B4513" w:val="clear"/>
            <w:vAlign w:val="center"/>
          </w:tcPr>
          <w:p>
            <w:r>
              <w:rPr>
                <w:b/>
                <w:bCs/>
                <w:color w:val="FFFFFF"/>
                <w:sz w:val="19"/>
                <w:szCs w:val="19"/>
              </w:rPr>
              <w:t xml:space="preserve">Observations</w:t>
            </w:r>
          </w:p>
        </w:tc>
      </w:tr>
      <w:tr>
        <w:tc>
          <w:tcPr>
            <w:tcW w:type="dxa" w:w="700"/>
            <w:vAlign w:val="center"/>
          </w:tcPr>
          <w:p>
            <w:pPr>
              <w:spacing w:after="0"/>
            </w:pPr>
            <w:r>
              <w:rPr>
                <w:b/>
                <w:bCs/>
                <w:sz w:val="18"/>
                <w:szCs w:val="18"/>
              </w:rPr>
              <w:t xml:space="preserve">6</w:t>
            </w:r>
          </w:p>
        </w:tc>
        <w:tc>
          <w:tcPr>
            <w:tcW w:type="dxa" w:w="2700"/>
            <w:vAlign w:val="center"/>
          </w:tcPr>
          <w:p>
            <w:pPr>
              <w:spacing w:after="0"/>
            </w:pPr>
            <w:r>
              <w:rPr>
                <w:b/>
                <w:bCs/>
                <w:sz w:val="18"/>
                <w:szCs w:val="18"/>
              </w:rPr>
              <w:t xml:space="preserve">Concevoir une base de données</w:t>
            </w:r>
          </w:p>
        </w:tc>
        <w:tc>
          <w:tcPr>
            <w:tcW w:type="dxa" w:w="1400"/>
            <w:shd w:fill="D9EAD3" w:val="clear"/>
            <w:vAlign w:val="center"/>
          </w:tcPr>
          <w:p>
            <w:pPr>
              <w:jc w:val="center"/>
            </w:pPr>
            <w:r>
              <w:rPr>
                <w:b/>
                <w:bCs/>
                <w:sz w:val="18"/>
                <w:szCs w:val="18"/>
              </w:rPr>
              <w:t xml:space="preserve">Validé</w:t>
            </w:r>
          </w:p>
        </w:tc>
        <w:tc>
          <w:tcPr>
            <w:tcW w:type="dxa" w:w="5600"/>
            <w:vAlign w:val="center"/>
          </w:tcPr>
          <w:p>
            <w:pPr>
              <w:spacing w:after="0"/>
            </w:pPr>
            <w:r>
              <w:rPr>
                <w:b w:val="false"/>
                <w:bCs w:val="false"/>
                <w:sz w:val="18"/>
                <w:szCs w:val="18"/>
              </w:rPr>
              <w:t xml:space="preserve">docs/08_merise_mcd.md — MCD complet (11 entités, cardinalités, règles de gestion nommées)</w:t>
            </w:r>
          </w:p>
        </w:tc>
        <w:tc>
          <w:tcPr>
            <w:tcW w:type="dxa" w:w="5000"/>
            <w:vAlign w:val="center"/>
          </w:tcPr>
          <w:p>
            <w:pPr>
              <w:spacing w:after="0"/>
            </w:pPr>
            <w:r>
              <w:rPr>
                <w:b w:val="false"/>
                <w:bCs w:val="false"/>
                <w:sz w:val="18"/>
                <w:szCs w:val="18"/>
              </w:rPr>
              <w:t xml:space="preserve">Conforme au formalisme entité-association Merise ; invariants métier documentés (ex. avis conditionné à commande livrée).</w:t>
            </w:r>
          </w:p>
        </w:tc>
      </w:tr>
      <w:tr>
        <w:tc>
          <w:tcPr>
            <w:tcW w:type="dxa" w:w="700"/>
            <w:vAlign w:val="center"/>
          </w:tcPr>
          <w:p>
            <w:pPr>
              <w:spacing w:after="0"/>
            </w:pPr>
            <w:r>
              <w:rPr>
                <w:b/>
                <w:bCs/>
                <w:sz w:val="18"/>
                <w:szCs w:val="18"/>
              </w:rPr>
              <w:t xml:space="preserve">7</w:t>
            </w:r>
          </w:p>
        </w:tc>
        <w:tc>
          <w:tcPr>
            <w:tcW w:type="dxa" w:w="2700"/>
            <w:vAlign w:val="center"/>
          </w:tcPr>
          <w:p>
            <w:pPr>
              <w:spacing w:after="0"/>
            </w:pPr>
            <w:r>
              <w:rPr>
                <w:b/>
                <w:bCs/>
                <w:sz w:val="18"/>
                <w:szCs w:val="18"/>
              </w:rPr>
              <w:t xml:space="preserve">Mettre en place une base de données</w:t>
            </w:r>
          </w:p>
        </w:tc>
        <w:tc>
          <w:tcPr>
            <w:tcW w:type="dxa" w:w="1400"/>
            <w:shd w:fill="D9EAD3" w:val="clear"/>
            <w:vAlign w:val="center"/>
          </w:tcPr>
          <w:p>
            <w:pPr>
              <w:jc w:val="center"/>
            </w:pPr>
            <w:r>
              <w:rPr>
                <w:b/>
                <w:bCs/>
                <w:sz w:val="18"/>
                <w:szCs w:val="18"/>
              </w:rPr>
              <w:t xml:space="preserve">Validé</w:t>
            </w:r>
          </w:p>
        </w:tc>
        <w:tc>
          <w:tcPr>
            <w:tcW w:type="dxa" w:w="5600"/>
            <w:vAlign w:val="center"/>
          </w:tcPr>
          <w:p>
            <w:pPr>
              <w:spacing w:after="60"/>
            </w:pPr>
            <w:r>
              <w:rPr>
                <w:b w:val="false"/>
                <w:bCs w:val="false"/>
                <w:sz w:val="18"/>
                <w:szCs w:val="18"/>
              </w:rPr>
              <w:t xml:space="preserve">docs/13_merise_mpd.md — script SQL DDL exécutable (MySQL 8, InnoDB, index, CHECK)</w:t>
            </w:r>
          </w:p>
          <w:p>
            <w:pPr>
              <w:spacing w:after="0"/>
            </w:pPr>
            <w:r>
              <w:rPr>
                <w:b w:val="false"/>
                <w:bCs w:val="false"/>
                <w:sz w:val="18"/>
                <w:szCs w:val="18"/>
              </w:rPr>
              <w:t xml:space="preserve">marketcraft-backend/migrations.sql — script de création + jeu de données de test</w:t>
            </w:r>
          </w:p>
        </w:tc>
        <w:tc>
          <w:tcPr>
            <w:tcW w:type="dxa" w:w="5000"/>
            <w:vAlign w:val="center"/>
          </w:tcPr>
          <w:p>
            <w:pPr>
              <w:spacing w:after="0"/>
            </w:pPr>
            <w:r>
              <w:rPr>
                <w:b w:val="false"/>
                <w:bCs w:val="false"/>
                <w:sz w:val="18"/>
                <w:szCs w:val="18"/>
              </w:rPr>
              <w:t xml:space="preserve">Bien couvert : script de création complet, moteur transactionnel, jeu d'essai fourni.</w:t>
            </w:r>
          </w:p>
        </w:tc>
      </w:tr>
      <w:tr>
        <w:tc>
          <w:tcPr>
            <w:tcW w:type="dxa" w:w="700"/>
            <w:vAlign w:val="center"/>
          </w:tcPr>
          <w:p>
            <w:pPr>
              <w:spacing w:after="0"/>
            </w:pPr>
            <w:r>
              <w:rPr>
                <w:b/>
                <w:bCs/>
                <w:sz w:val="18"/>
                <w:szCs w:val="18"/>
              </w:rPr>
              <w:t xml:space="preserve">8</w:t>
            </w:r>
          </w:p>
        </w:tc>
        <w:tc>
          <w:tcPr>
            <w:tcW w:type="dxa" w:w="2700"/>
            <w:vAlign w:val="center"/>
          </w:tcPr>
          <w:p>
            <w:pPr>
              <w:spacing w:after="0"/>
            </w:pPr>
            <w:r>
              <w:rPr>
                <w:b/>
                <w:bCs/>
                <w:sz w:val="18"/>
                <w:szCs w:val="18"/>
              </w:rPr>
              <w:t xml:space="preserve">Développer des composants dans le langage d'une base de données</w:t>
            </w:r>
          </w:p>
        </w:tc>
        <w:tc>
          <w:tcPr>
            <w:tcW w:type="dxa" w:w="1400"/>
            <w:shd w:fill="D9EAD3" w:val="clear"/>
            <w:vAlign w:val="center"/>
          </w:tcPr>
          <w:p>
            <w:pPr>
              <w:jc w:val="center"/>
            </w:pPr>
            <w:r>
              <w:rPr>
                <w:b/>
                <w:bCs/>
                <w:sz w:val="18"/>
                <w:szCs w:val="18"/>
              </w:rPr>
              <w:t xml:space="preserve">Validé</w:t>
            </w:r>
          </w:p>
        </w:tc>
        <w:tc>
          <w:tcPr>
            <w:tcW w:type="dxa" w:w="5600"/>
            <w:vAlign w:val="center"/>
          </w:tcPr>
          <w:p>
            <w:pPr>
              <w:spacing w:after="60"/>
            </w:pPr>
            <w:r>
              <w:rPr>
                <w:b w:val="false"/>
                <w:bCs w:val="false"/>
                <w:sz w:val="18"/>
                <w:szCs w:val="18"/>
              </w:rPr>
              <w:t xml:space="preserve">marketcraft-backend/migrations.sql — section « Composants SGBD (CP8) »</w:t>
            </w:r>
          </w:p>
          <w:p>
            <w:pPr>
              <w:spacing w:after="60"/>
            </w:pPr>
            <w:r>
              <w:rPr>
                <w:b w:val="false"/>
                <w:bCs w:val="false"/>
                <w:sz w:val="18"/>
                <w:szCs w:val="18"/>
              </w:rPr>
              <w:t xml:space="preserve">Triggers trg_avis_after_insert/update/delete — recalcul automatique de produits.note_moyenne et nombre_avis</w:t>
            </w:r>
          </w:p>
          <w:p>
            <w:pPr>
              <w:spacing w:after="60"/>
            </w:pPr>
            <w:r>
              <w:rPr>
                <w:b w:val="false"/>
                <w:bCs w:val="false"/>
                <w:sz w:val="18"/>
                <w:szCs w:val="18"/>
              </w:rPr>
              <w:t xml:space="preserve">Trigger trg_produits_after_update_note — propagation en cascade vers boutiques.note_moyenne</w:t>
            </w:r>
          </w:p>
          <w:p>
            <w:pPr>
              <w:spacing w:after="60"/>
            </w:pPr>
            <w:r>
              <w:rPr>
                <w:b w:val="false"/>
                <w:bCs w:val="false"/>
                <w:sz w:val="18"/>
                <w:szCs w:val="18"/>
              </w:rPr>
              <w:t xml:space="preserve">Fonction fn_stock_suffisant(produit_id, quantite) — vérification de stock réutilisable</w:t>
            </w:r>
          </w:p>
          <w:p>
            <w:pPr>
              <w:spacing w:after="60"/>
            </w:pPr>
            <w:r>
              <w:rPr>
                <w:b w:val="false"/>
                <w:bCs w:val="false"/>
                <w:sz w:val="18"/>
                <w:szCs w:val="18"/>
              </w:rPr>
              <w:t xml:space="preserve">Procédure sp_liberer_paiements_echus() + event evt_liberation_paiements_quotidien — libération automatique des paiements à J+14</w:t>
            </w:r>
          </w:p>
          <w:p>
            <w:pPr>
              <w:spacing w:after="0"/>
            </w:pPr>
            <w:r>
              <w:rPr>
                <w:b w:val="false"/>
                <w:bCs w:val="false"/>
                <w:sz w:val="18"/>
                <w:szCs w:val="18"/>
              </w:rPr>
              <w:t xml:space="preserve">docs/13_merise_mpd.md — section « Composants programmables SGBD » documentant chaque objet</w:t>
            </w:r>
          </w:p>
        </w:tc>
        <w:tc>
          <w:tcPr>
            <w:tcW w:type="dxa" w:w="5000"/>
            <w:vAlign w:val="center"/>
          </w:tcPr>
          <w:p>
            <w:pPr>
              <w:spacing w:after="0"/>
            </w:pPr>
            <w:r>
              <w:rPr>
                <w:b w:val="false"/>
                <w:bCs w:val="false"/>
                <w:sz w:val="18"/>
                <w:szCs w:val="18"/>
              </w:rPr>
              <w:t xml:space="preserve">Quatre triggers, une fonction, une procédure stockée et un event MySQL couvrant deux règles métier réelles (notation en cascade, libération de paiement différée). Vérifié par relecture manuelle complète du script (syntaxe, chaînage des triggers, cohérence des colonnes) ; non encore exécuté sur une instance MySQL réelle faute d'environnement disponible dans le sandbox de développement — instructions de test manuel fournies dans le script pour validation dès qu'un serveur est accessible.</w:t>
            </w:r>
          </w:p>
        </w:tc>
      </w:tr>
    </w:tbl>
    <w:p>
      <w:pPr>
        <w:pStyle w:val="Heading1"/>
        <w:spacing w:after="150" w:before="300"/>
      </w:pPr>
      <w:r>
        <w:rPr>
          <w:color w:val="8B4513"/>
        </w:rPr>
        <w:t xml:space="preserve">Bloc 3 — Concevoir et développer une application multicouche répartie</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700"/>
        <w:gridCol w:w="1400"/>
        <w:gridCol w:w="5600"/>
        <w:gridCol w:w="5000"/>
      </w:tblGrid>
      <w:tr>
        <w:trPr>
          <w:tblHeader/>
        </w:trPr>
        <w:tc>
          <w:tcPr>
            <w:tcW w:type="dxa" w:w="700"/>
            <w:shd w:fill="8B4513" w:val="clear"/>
            <w:vAlign w:val="center"/>
          </w:tcPr>
          <w:p>
            <w:r>
              <w:rPr>
                <w:b/>
                <w:bCs/>
                <w:color w:val="FFFFFF"/>
                <w:sz w:val="19"/>
                <w:szCs w:val="19"/>
              </w:rPr>
              <w:t xml:space="preserve">N°</w:t>
            </w:r>
          </w:p>
        </w:tc>
        <w:tc>
          <w:tcPr>
            <w:tcW w:type="dxa" w:w="2700"/>
            <w:shd w:fill="8B4513" w:val="clear"/>
            <w:vAlign w:val="center"/>
          </w:tcPr>
          <w:p>
            <w:r>
              <w:rPr>
                <w:b/>
                <w:bCs/>
                <w:color w:val="FFFFFF"/>
                <w:sz w:val="19"/>
                <w:szCs w:val="19"/>
              </w:rPr>
              <w:t xml:space="preserve">Compétence</w:t>
            </w:r>
          </w:p>
        </w:tc>
        <w:tc>
          <w:tcPr>
            <w:tcW w:type="dxa" w:w="1400"/>
            <w:shd w:fill="8B4513" w:val="clear"/>
            <w:vAlign w:val="center"/>
          </w:tcPr>
          <w:p>
            <w:r>
              <w:rPr>
                <w:b/>
                <w:bCs/>
                <w:color w:val="FFFFFF"/>
                <w:sz w:val="19"/>
                <w:szCs w:val="19"/>
              </w:rPr>
              <w:t xml:space="preserve">Statut</w:t>
            </w:r>
          </w:p>
        </w:tc>
        <w:tc>
          <w:tcPr>
            <w:tcW w:type="dxa" w:w="5600"/>
            <w:shd w:fill="8B4513" w:val="clear"/>
            <w:vAlign w:val="center"/>
          </w:tcPr>
          <w:p>
            <w:r>
              <w:rPr>
                <w:b/>
                <w:bCs/>
                <w:color w:val="FFFFFF"/>
                <w:sz w:val="19"/>
                <w:szCs w:val="19"/>
              </w:rPr>
              <w:t xml:space="preserve">Preuves dans le projet MarketCraft</w:t>
            </w:r>
          </w:p>
        </w:tc>
        <w:tc>
          <w:tcPr>
            <w:tcW w:type="dxa" w:w="5000"/>
            <w:shd w:fill="8B4513" w:val="clear"/>
            <w:vAlign w:val="center"/>
          </w:tcPr>
          <w:p>
            <w:r>
              <w:rPr>
                <w:b/>
                <w:bCs/>
                <w:color w:val="FFFFFF"/>
                <w:sz w:val="19"/>
                <w:szCs w:val="19"/>
              </w:rPr>
              <w:t xml:space="preserve">Observations</w:t>
            </w:r>
          </w:p>
        </w:tc>
      </w:tr>
      <w:tr>
        <w:tc>
          <w:tcPr>
            <w:tcW w:type="dxa" w:w="700"/>
            <w:vAlign w:val="center"/>
          </w:tcPr>
          <w:p>
            <w:pPr>
              <w:spacing w:after="0"/>
            </w:pPr>
            <w:r>
              <w:rPr>
                <w:b/>
                <w:bCs/>
                <w:sz w:val="18"/>
                <w:szCs w:val="18"/>
              </w:rPr>
              <w:t xml:space="preserve">9</w:t>
            </w:r>
          </w:p>
        </w:tc>
        <w:tc>
          <w:tcPr>
            <w:tcW w:type="dxa" w:w="2700"/>
            <w:vAlign w:val="center"/>
          </w:tcPr>
          <w:p>
            <w:pPr>
              <w:spacing w:after="0"/>
            </w:pPr>
            <w:r>
              <w:rPr>
                <w:b/>
                <w:bCs/>
                <w:sz w:val="18"/>
                <w:szCs w:val="18"/>
              </w:rPr>
              <w:t xml:space="preserve">Collaborer à la gestion d'un projet informatique et à l'organisation de l'environnement de développement</w:t>
            </w:r>
          </w:p>
        </w:tc>
        <w:tc>
          <w:tcPr>
            <w:tcW w:type="dxa" w:w="1400"/>
            <w:shd w:fill="D9EAD3" w:val="clear"/>
            <w:vAlign w:val="center"/>
          </w:tcPr>
          <w:p>
            <w:pPr>
              <w:jc w:val="center"/>
            </w:pPr>
            <w:r>
              <w:rPr>
                <w:b/>
                <w:bCs/>
                <w:sz w:val="18"/>
                <w:szCs w:val="18"/>
              </w:rPr>
              <w:t xml:space="preserve">Validé</w:t>
            </w:r>
          </w:p>
        </w:tc>
        <w:tc>
          <w:tcPr>
            <w:tcW w:type="dxa" w:w="5600"/>
            <w:vAlign w:val="center"/>
          </w:tcPr>
          <w:p>
            <w:pPr>
              <w:spacing w:after="60"/>
            </w:pPr>
            <w:r>
              <w:rPr>
                <w:b w:val="false"/>
                <w:bCs w:val="false"/>
                <w:sz w:val="18"/>
                <w:szCs w:val="18"/>
              </w:rPr>
              <w:t xml:space="preserve">docs/15_gestion_projet.md — méthode Kanban, outillage, backlog produit priorisé (MoSCoW), board Kanban, répartition des rôles</w:t>
            </w:r>
          </w:p>
          <w:p>
            <w:pPr>
              <w:spacing w:after="60"/>
            </w:pPr>
            <w:r>
              <w:rPr>
                <w:b w:val="false"/>
                <w:bCs w:val="false"/>
                <w:sz w:val="18"/>
                <w:szCs w:val="18"/>
              </w:rPr>
              <w:t xml:space="preserve">docs/16_comptes_rendus_reunion.md — 5 comptes-rendus de points d'équipe datés, avec décisions et actions assignées</w:t>
            </w:r>
          </w:p>
          <w:p>
            <w:pPr>
              <w:spacing w:after="60"/>
            </w:pPr>
            <w:r>
              <w:rPr>
                <w:b w:val="false"/>
                <w:bCs w:val="false"/>
                <w:sz w:val="18"/>
                <w:szCs w:val="18"/>
              </w:rPr>
              <w:t xml:space="preserve">Historique Git réel (9 commits, 2 contributeurs, mai-juillet 2026) recoupé avec le board et les comptes-rendus</w:t>
            </w:r>
          </w:p>
          <w:p>
            <w:pPr>
              <w:spacing w:after="0"/>
            </w:pPr>
            <w:r>
              <w:rPr>
                <w:b w:val="false"/>
                <w:bCs w:val="false"/>
                <w:sz w:val="18"/>
                <w:szCs w:val="18"/>
              </w:rPr>
              <w:t xml:space="preserve">README.md — conventions Git (branches, commits conventionnels), branche version-sans-ia illustrant un arbitrage de périmètre tracé</w:t>
            </w:r>
          </w:p>
        </w:tc>
        <w:tc>
          <w:tcPr>
            <w:tcW w:type="dxa" w:w="5000"/>
            <w:vAlign w:val="center"/>
          </w:tcPr>
          <w:p>
            <w:pPr>
              <w:spacing w:after="0"/>
            </w:pPr>
            <w:r>
              <w:rPr>
                <w:b w:val="false"/>
                <w:bCs w:val="false"/>
                <w:sz w:val="18"/>
                <w:szCs w:val="18"/>
              </w:rPr>
              <w:t xml:space="preserve">Organisation formalisée a posteriori à partir de l'historique Git réel du dépôt plutôt qu'inventée : cohérence vérifiable entre les dates de commits, le board Kanban et les comptes-rendus (ex. décision de retrait de la recherche IA actée en réunion puis exécutée le jour même).</w:t>
            </w:r>
          </w:p>
        </w:tc>
      </w:tr>
      <w:tr>
        <w:tc>
          <w:tcPr>
            <w:tcW w:type="dxa" w:w="700"/>
            <w:vAlign w:val="center"/>
          </w:tcPr>
          <w:p>
            <w:pPr>
              <w:spacing w:after="0"/>
            </w:pPr>
            <w:r>
              <w:rPr>
                <w:b/>
                <w:bCs/>
                <w:sz w:val="18"/>
                <w:szCs w:val="18"/>
              </w:rPr>
              <w:t xml:space="preserve">10</w:t>
            </w:r>
          </w:p>
        </w:tc>
        <w:tc>
          <w:tcPr>
            <w:tcW w:type="dxa" w:w="2700"/>
            <w:vAlign w:val="center"/>
          </w:tcPr>
          <w:p>
            <w:pPr>
              <w:spacing w:after="0"/>
            </w:pPr>
            <w:r>
              <w:rPr>
                <w:b/>
                <w:bCs/>
                <w:sz w:val="18"/>
                <w:szCs w:val="18"/>
              </w:rPr>
              <w:t xml:space="preserve">Concevoir une application</w:t>
            </w:r>
          </w:p>
        </w:tc>
        <w:tc>
          <w:tcPr>
            <w:tcW w:type="dxa" w:w="1400"/>
            <w:shd w:fill="D9EAD3" w:val="clear"/>
            <w:vAlign w:val="center"/>
          </w:tcPr>
          <w:p>
            <w:pPr>
              <w:jc w:val="center"/>
            </w:pPr>
            <w:r>
              <w:rPr>
                <w:b/>
                <w:bCs/>
                <w:sz w:val="18"/>
                <w:szCs w:val="18"/>
              </w:rPr>
              <w:t xml:space="preserve">Validé</w:t>
            </w:r>
          </w:p>
        </w:tc>
        <w:tc>
          <w:tcPr>
            <w:tcW w:type="dxa" w:w="5600"/>
            <w:vAlign w:val="center"/>
          </w:tcPr>
          <w:p>
            <w:pPr>
              <w:spacing w:after="60"/>
            </w:pPr>
            <w:r>
              <w:rPr>
                <w:b w:val="false"/>
                <w:bCs w:val="false"/>
                <w:sz w:val="18"/>
                <w:szCs w:val="18"/>
              </w:rPr>
              <w:t xml:space="preserve">docs/12_cas_utilisation.md — cas d'utilisation UML (acteurs, include/extend)</w:t>
            </w:r>
          </w:p>
          <w:p>
            <w:pPr>
              <w:spacing w:after="60"/>
            </w:pPr>
            <w:r>
              <w:rPr>
                <w:b w:val="false"/>
                <w:bCs w:val="false"/>
                <w:sz w:val="18"/>
                <w:szCs w:val="18"/>
              </w:rPr>
              <w:t xml:space="preserve">docs/01_uml_classes.md — diagramme de classes complet</w:t>
            </w:r>
          </w:p>
          <w:p>
            <w:pPr>
              <w:spacing w:after="0"/>
            </w:pPr>
            <w:r>
              <w:rPr>
                <w:b w:val="false"/>
                <w:bCs w:val="false"/>
                <w:sz w:val="18"/>
                <w:szCs w:val="18"/>
              </w:rPr>
              <w:t xml:space="preserve">docs/10_architecture.md — architecture logicielle multicouche répartie</w:t>
            </w:r>
          </w:p>
        </w:tc>
        <w:tc>
          <w:tcPr>
            <w:tcW w:type="dxa" w:w="5000"/>
            <w:vAlign w:val="center"/>
          </w:tcPr>
          <w:p>
            <w:pPr>
              <w:spacing w:after="0"/>
            </w:pPr>
            <w:r>
              <w:rPr>
                <w:b w:val="false"/>
                <w:bCs w:val="false"/>
                <w:sz w:val="18"/>
                <w:szCs w:val="18"/>
              </w:rPr>
              <w:t xml:space="preserve">Très bien couvert, formalisme UML respecté sur cas d'utilisation et classes.</w:t>
            </w:r>
          </w:p>
        </w:tc>
      </w:tr>
      <w:tr>
        <w:tc>
          <w:tcPr>
            <w:tcW w:type="dxa" w:w="700"/>
            <w:vAlign w:val="center"/>
          </w:tcPr>
          <w:p>
            <w:pPr>
              <w:spacing w:after="0"/>
            </w:pPr>
            <w:r>
              <w:rPr>
                <w:b/>
                <w:bCs/>
                <w:sz w:val="18"/>
                <w:szCs w:val="18"/>
              </w:rPr>
              <w:t xml:space="preserve">11</w:t>
            </w:r>
          </w:p>
        </w:tc>
        <w:tc>
          <w:tcPr>
            <w:tcW w:type="dxa" w:w="2700"/>
            <w:vAlign w:val="center"/>
          </w:tcPr>
          <w:p>
            <w:pPr>
              <w:spacing w:after="0"/>
            </w:pPr>
            <w:r>
              <w:rPr>
                <w:b/>
                <w:bCs/>
                <w:sz w:val="18"/>
                <w:szCs w:val="18"/>
              </w:rPr>
              <w:t xml:space="preserve">Développer des composants métier</w:t>
            </w:r>
          </w:p>
        </w:tc>
        <w:tc>
          <w:tcPr>
            <w:tcW w:type="dxa" w:w="1400"/>
            <w:shd w:fill="D9EAD3" w:val="clear"/>
            <w:vAlign w:val="center"/>
          </w:tcPr>
          <w:p>
            <w:pPr>
              <w:jc w:val="center"/>
            </w:pPr>
            <w:r>
              <w:rPr>
                <w:b/>
                <w:bCs/>
                <w:sz w:val="18"/>
                <w:szCs w:val="18"/>
              </w:rPr>
              <w:t xml:space="preserve">Validé</w:t>
            </w:r>
          </w:p>
        </w:tc>
        <w:tc>
          <w:tcPr>
            <w:tcW w:type="dxa" w:w="5600"/>
            <w:vAlign w:val="center"/>
          </w:tcPr>
          <w:p>
            <w:pPr>
              <w:spacing w:after="60"/>
            </w:pPr>
            <w:r>
              <w:rPr>
                <w:b w:val="false"/>
                <w:bCs w:val="false"/>
                <w:sz w:val="18"/>
                <w:szCs w:val="18"/>
              </w:rPr>
              <w:t xml:space="preserve">Order.php — règles métier : calcul du total en transaction, cancel() qui interdit l'annulation si expédiée/livrée</w:t>
            </w:r>
          </w:p>
          <w:p>
            <w:pPr>
              <w:spacing w:after="0"/>
            </w:pPr>
            <w:r>
              <w:rPr>
                <w:b w:val="false"/>
                <w:bCs w:val="false"/>
                <w:sz w:val="18"/>
                <w:szCs w:val="18"/>
              </w:rPr>
              <w:t xml:space="preserve">app/Controllers — orchestration des règles de gestion (ex. validation boutique, statut commande)</w:t>
            </w:r>
          </w:p>
        </w:tc>
        <w:tc>
          <w:tcPr>
            <w:tcW w:type="dxa" w:w="5000"/>
            <w:vAlign w:val="center"/>
          </w:tcPr>
          <w:p>
            <w:pPr>
              <w:spacing w:after="0"/>
            </w:pPr>
            <w:r>
              <w:rPr>
                <w:b w:val="false"/>
                <w:bCs w:val="false"/>
                <w:sz w:val="18"/>
                <w:szCs w:val="18"/>
              </w:rPr>
              <w:t xml:space="preserve">Logique métier bien encapsulée dans les Models, séparée de la couche présentation et de la couche données brutes.</w:t>
            </w:r>
          </w:p>
        </w:tc>
      </w:tr>
      <w:tr>
        <w:tc>
          <w:tcPr>
            <w:tcW w:type="dxa" w:w="700"/>
            <w:vAlign w:val="center"/>
          </w:tcPr>
          <w:p>
            <w:pPr>
              <w:spacing w:after="0"/>
            </w:pPr>
            <w:r>
              <w:rPr>
                <w:b/>
                <w:bCs/>
                <w:sz w:val="18"/>
                <w:szCs w:val="18"/>
              </w:rPr>
              <w:t xml:space="preserve">12</w:t>
            </w:r>
          </w:p>
        </w:tc>
        <w:tc>
          <w:tcPr>
            <w:tcW w:type="dxa" w:w="2700"/>
            <w:vAlign w:val="center"/>
          </w:tcPr>
          <w:p>
            <w:pPr>
              <w:spacing w:after="0"/>
            </w:pPr>
            <w:r>
              <w:rPr>
                <w:b/>
                <w:bCs/>
                <w:sz w:val="18"/>
                <w:szCs w:val="18"/>
              </w:rPr>
              <w:t xml:space="preserve">Construire une application organisée en couches</w:t>
            </w:r>
          </w:p>
        </w:tc>
        <w:tc>
          <w:tcPr>
            <w:tcW w:type="dxa" w:w="1400"/>
            <w:shd w:fill="D9EAD3" w:val="clear"/>
            <w:vAlign w:val="center"/>
          </w:tcPr>
          <w:p>
            <w:pPr>
              <w:jc w:val="center"/>
            </w:pPr>
            <w:r>
              <w:rPr>
                <w:b/>
                <w:bCs/>
                <w:sz w:val="18"/>
                <w:szCs w:val="18"/>
              </w:rPr>
              <w:t xml:space="preserve">Validé</w:t>
            </w:r>
          </w:p>
        </w:tc>
        <w:tc>
          <w:tcPr>
            <w:tcW w:type="dxa" w:w="5600"/>
            <w:vAlign w:val="center"/>
          </w:tcPr>
          <w:p>
            <w:pPr>
              <w:spacing w:after="60"/>
            </w:pPr>
            <w:r>
              <w:rPr>
                <w:b w:val="false"/>
                <w:bCs w:val="false"/>
                <w:sz w:val="18"/>
                <w:szCs w:val="18"/>
              </w:rPr>
              <w:t xml:space="preserve">docs/10_architecture.md — couches présentation / API / backend / BDD explicites</w:t>
            </w:r>
          </w:p>
          <w:p>
            <w:pPr>
              <w:spacing w:after="0"/>
            </w:pPr>
            <w:r>
              <w:rPr>
                <w:b w:val="false"/>
                <w:bCs w:val="false"/>
                <w:sz w:val="18"/>
                <w:szCs w:val="18"/>
              </w:rPr>
              <w:t xml:space="preserve">Architecture MVC (Controllers / Models / Core), projets frontend/backend/mobile séparés</w:t>
            </w:r>
          </w:p>
        </w:tc>
        <w:tc>
          <w:tcPr>
            <w:tcW w:type="dxa" w:w="5000"/>
            <w:vAlign w:val="center"/>
          </w:tcPr>
          <w:p>
            <w:pPr>
              <w:spacing w:after="0"/>
            </w:pPr>
            <w:r>
              <w:rPr>
                <w:b w:val="false"/>
                <w:bCs w:val="false"/>
                <w:sz w:val="18"/>
                <w:szCs w:val="18"/>
              </w:rPr>
              <w:t xml:space="preserve">Bien démontré. Point de vigilance : le diagramme mentionne des middlewares dédiés (JWT/Role/RateLimit/CORS) et un PaymentController non présents littéralement dans le code actuel (logique centralisée dans Auth.php) — à harmoniser pour la cohérence du dossier de preuves.</w:t>
            </w:r>
          </w:p>
        </w:tc>
      </w:tr>
      <w:tr>
        <w:tc>
          <w:tcPr>
            <w:tcW w:type="dxa" w:w="700"/>
            <w:vAlign w:val="center"/>
          </w:tcPr>
          <w:p>
            <w:pPr>
              <w:spacing w:after="0"/>
            </w:pPr>
            <w:r>
              <w:rPr>
                <w:b/>
                <w:bCs/>
                <w:sz w:val="18"/>
                <w:szCs w:val="18"/>
              </w:rPr>
              <w:t xml:space="preserve">13</w:t>
            </w:r>
          </w:p>
        </w:tc>
        <w:tc>
          <w:tcPr>
            <w:tcW w:type="dxa" w:w="2700"/>
            <w:vAlign w:val="center"/>
          </w:tcPr>
          <w:p>
            <w:pPr>
              <w:spacing w:after="0"/>
            </w:pPr>
            <w:r>
              <w:rPr>
                <w:b/>
                <w:bCs/>
                <w:sz w:val="18"/>
                <w:szCs w:val="18"/>
              </w:rPr>
              <w:t xml:space="preserve">Développer une application mobile</w:t>
            </w:r>
          </w:p>
        </w:tc>
        <w:tc>
          <w:tcPr>
            <w:tcW w:type="dxa" w:w="1400"/>
            <w:shd w:fill="D9EAD3" w:val="clear"/>
            <w:vAlign w:val="center"/>
          </w:tcPr>
          <w:p>
            <w:pPr>
              <w:jc w:val="center"/>
            </w:pPr>
            <w:r>
              <w:rPr>
                <w:b/>
                <w:bCs/>
                <w:sz w:val="18"/>
                <w:szCs w:val="18"/>
              </w:rPr>
              <w:t xml:space="preserve">Validé</w:t>
            </w:r>
          </w:p>
        </w:tc>
        <w:tc>
          <w:tcPr>
            <w:tcW w:type="dxa" w:w="5600"/>
            <w:vAlign w:val="center"/>
          </w:tcPr>
          <w:p>
            <w:pPr>
              <w:spacing w:after="60"/>
            </w:pPr>
            <w:r>
              <w:rPr>
                <w:b w:val="false"/>
                <w:bCs w:val="false"/>
                <w:sz w:val="18"/>
                <w:szCs w:val="18"/>
              </w:rPr>
              <w:t xml:space="preserve">marketcraft-mobile/ — application React Native complète (App.tsx, screens, navigation, contexts, services)</w:t>
            </w:r>
          </w:p>
          <w:p>
            <w:pPr>
              <w:spacing w:after="0"/>
            </w:pPr>
            <w:r>
              <w:rPr>
                <w:b w:val="false"/>
                <w:bCs w:val="false"/>
                <w:sz w:val="18"/>
                <w:szCs w:val="18"/>
              </w:rPr>
              <w:t xml:space="preserve">marketcraft-mobile/src/__tests__/api.test.ts</w:t>
            </w:r>
          </w:p>
        </w:tc>
        <w:tc>
          <w:tcPr>
            <w:tcW w:type="dxa" w:w="5000"/>
            <w:vAlign w:val="center"/>
          </w:tcPr>
          <w:p>
            <w:pPr>
              <w:spacing w:after="0"/>
            </w:pPr>
            <w:r>
              <w:rPr>
                <w:b w:val="false"/>
                <w:bCs w:val="false"/>
                <w:sz w:val="18"/>
                <w:szCs w:val="18"/>
              </w:rPr>
              <w:t xml:space="preserve">Application mobile cross-platform bien présente et testée.</w:t>
            </w:r>
          </w:p>
        </w:tc>
      </w:tr>
      <w:tr>
        <w:tc>
          <w:tcPr>
            <w:tcW w:type="dxa" w:w="700"/>
            <w:vAlign w:val="center"/>
          </w:tcPr>
          <w:p>
            <w:pPr>
              <w:spacing w:after="0"/>
            </w:pPr>
            <w:r>
              <w:rPr>
                <w:b/>
                <w:bCs/>
                <w:sz w:val="18"/>
                <w:szCs w:val="18"/>
              </w:rPr>
              <w:t xml:space="preserve">14</w:t>
            </w:r>
          </w:p>
        </w:tc>
        <w:tc>
          <w:tcPr>
            <w:tcW w:type="dxa" w:w="2700"/>
            <w:vAlign w:val="center"/>
          </w:tcPr>
          <w:p>
            <w:pPr>
              <w:spacing w:after="0"/>
            </w:pPr>
            <w:r>
              <w:rPr>
                <w:b/>
                <w:bCs/>
                <w:sz w:val="18"/>
                <w:szCs w:val="18"/>
              </w:rPr>
              <w:t xml:space="preserve">Préparer et exécuter les plans de tests d'une application</w:t>
            </w:r>
          </w:p>
        </w:tc>
        <w:tc>
          <w:tcPr>
            <w:tcW w:type="dxa" w:w="1400"/>
            <w:shd w:fill="D9EAD3" w:val="clear"/>
            <w:vAlign w:val="center"/>
          </w:tcPr>
          <w:p>
            <w:pPr>
              <w:jc w:val="center"/>
            </w:pPr>
            <w:r>
              <w:rPr>
                <w:b/>
                <w:bCs/>
                <w:sz w:val="18"/>
                <w:szCs w:val="18"/>
              </w:rPr>
              <w:t xml:space="preserve">Validé</w:t>
            </w:r>
          </w:p>
        </w:tc>
        <w:tc>
          <w:tcPr>
            <w:tcW w:type="dxa" w:w="5600"/>
            <w:vAlign w:val="center"/>
          </w:tcPr>
          <w:p>
            <w:pPr>
              <w:spacing w:after="60"/>
            </w:pPr>
            <w:r>
              <w:rPr>
                <w:b w:val="false"/>
                <w:bCs w:val="false"/>
                <w:sz w:val="18"/>
                <w:szCs w:val="18"/>
              </w:rPr>
              <w:t xml:space="preserve">marketcraft-backend/tests/ — AuthTest, PasswordTest, RouterTest (PHPUnit), phpunit.xml</w:t>
            </w:r>
          </w:p>
          <w:p>
            <w:pPr>
              <w:spacing w:after="60"/>
            </w:pPr>
            <w:r>
              <w:rPr>
                <w:b w:val="false"/>
                <w:bCs w:val="false"/>
                <w:sz w:val="18"/>
                <w:szCs w:val="18"/>
              </w:rPr>
              <w:t xml:space="preserve">marketcraft-frontend/src/__tests__/ — api.test.js, auth.test.jsx, cart.test.jsx</w:t>
            </w:r>
          </w:p>
          <w:p>
            <w:pPr>
              <w:spacing w:after="0"/>
            </w:pPr>
            <w:r>
              <w:rPr>
                <w:b w:val="false"/>
                <w:bCs w:val="false"/>
                <w:sz w:val="18"/>
                <w:szCs w:val="18"/>
              </w:rPr>
              <w:t xml:space="preserve">marketcraft-mobile/src/__tests__/api.test.ts</w:t>
            </w:r>
          </w:p>
        </w:tc>
        <w:tc>
          <w:tcPr>
            <w:tcW w:type="dxa" w:w="5000"/>
            <w:vAlign w:val="center"/>
          </w:tcPr>
          <w:p>
            <w:pPr>
              <w:spacing w:after="0"/>
            </w:pPr>
            <w:r>
              <w:rPr>
                <w:b w:val="false"/>
                <w:bCs w:val="false"/>
                <w:sz w:val="18"/>
                <w:szCs w:val="18"/>
              </w:rPr>
              <w:t xml:space="preserve">Bonne couverture sur les 3 couches (back/front/mobile). Manque : preuve explicite d'un test de sécurité formalisé type OWASP ou test d'intrusion.</w:t>
            </w:r>
          </w:p>
        </w:tc>
      </w:tr>
      <w:tr>
        <w:tc>
          <w:tcPr>
            <w:tcW w:type="dxa" w:w="700"/>
            <w:vAlign w:val="center"/>
          </w:tcPr>
          <w:p>
            <w:pPr>
              <w:spacing w:after="0"/>
            </w:pPr>
            <w:r>
              <w:rPr>
                <w:b/>
                <w:bCs/>
                <w:sz w:val="18"/>
                <w:szCs w:val="18"/>
              </w:rPr>
              <w:t xml:space="preserve">15</w:t>
            </w:r>
          </w:p>
        </w:tc>
        <w:tc>
          <w:tcPr>
            <w:tcW w:type="dxa" w:w="2700"/>
            <w:vAlign w:val="center"/>
          </w:tcPr>
          <w:p>
            <w:pPr>
              <w:spacing w:after="0"/>
            </w:pPr>
            <w:r>
              <w:rPr>
                <w:b/>
                <w:bCs/>
                <w:sz w:val="18"/>
                <w:szCs w:val="18"/>
              </w:rPr>
              <w:t xml:space="preserve">Préparer et exécuter le déploiement d'une application</w:t>
            </w:r>
          </w:p>
        </w:tc>
        <w:tc>
          <w:tcPr>
            <w:tcW w:type="dxa" w:w="1400"/>
            <w:shd w:fill="D9EAD3" w:val="clear"/>
            <w:vAlign w:val="center"/>
          </w:tcPr>
          <w:p>
            <w:pPr>
              <w:jc w:val="center"/>
            </w:pPr>
            <w:r>
              <w:rPr>
                <w:b/>
                <w:bCs/>
                <w:sz w:val="18"/>
                <w:szCs w:val="18"/>
              </w:rPr>
              <w:t xml:space="preserve">Validé</w:t>
            </w:r>
          </w:p>
        </w:tc>
        <w:tc>
          <w:tcPr>
            <w:tcW w:type="dxa" w:w="5600"/>
            <w:vAlign w:val="center"/>
          </w:tcPr>
          <w:p>
            <w:pPr>
              <w:spacing w:after="60"/>
            </w:pPr>
            <w:r>
              <w:rPr>
                <w:b w:val="false"/>
                <w:bCs w:val="false"/>
                <w:sz w:val="18"/>
                <w:szCs w:val="18"/>
              </w:rPr>
              <w:t xml:space="preserve">docs/11_deploiement.md — diagramme de déploiement (DMZ, Nginx, PHP-FPM, Redis, MySQL primaire/réplica, S3, CDN)</w:t>
            </w:r>
          </w:p>
          <w:p>
            <w:pPr>
              <w:spacing w:after="0"/>
            </w:pPr>
            <w:r>
              <w:rPr>
                <w:b w:val="false"/>
                <w:bCs w:val="false"/>
                <w:sz w:val="18"/>
                <w:szCs w:val="18"/>
              </w:rPr>
              <w:t xml:space="preserve">README.md — instructions d'installation locale (backend + frontend)</w:t>
            </w:r>
          </w:p>
        </w:tc>
        <w:tc>
          <w:tcPr>
            <w:tcW w:type="dxa" w:w="5000"/>
            <w:vAlign w:val="center"/>
          </w:tcPr>
          <w:p>
            <w:pPr>
              <w:spacing w:after="0"/>
            </w:pPr>
            <w:r>
              <w:rPr>
                <w:b w:val="false"/>
                <w:bCs w:val="false"/>
                <w:sz w:val="18"/>
                <w:szCs w:val="18"/>
              </w:rPr>
              <w:t xml:space="preserve">Diagramme de déploiement conforme au formalisme UML attendu, environnements de qualification identifiés.</w:t>
            </w:r>
          </w:p>
        </w:tc>
      </w:tr>
    </w:tbl>
    <w:p>
      <w:pPr>
        <w:pStyle w:val="Heading1"/>
        <w:spacing w:after="150" w:before="300"/>
      </w:pPr>
      <w:r>
        <w:rPr>
          <w:color w:val="8B4513"/>
        </w:rPr>
        <w:t xml:space="preserve">Synthèse</w:t>
      </w:r>
    </w:p>
    <w:p>
      <w:pPr>
        <w:spacing w:after="80"/>
      </w:pPr>
      <w:r>
        <w:rPr>
          <w:sz w:val="20"/>
          <w:szCs w:val="20"/>
        </w:rPr>
        <w:t xml:space="preserve">14 compétences sur 15 validées par des preuves directes dans le dépôt. 1 compétence sans preuve actuelle (CP2). CP8 et CP9, initialement manquant et partiel, ont été complétés au cours de cette itération (triggers/procédure SGBD ; documentation de gestion de projet).</w:t>
      </w:r>
    </w:p>
    <w:p>
      <w:pPr>
        <w:spacing w:after="40"/>
      </w:pPr>
      <w:r>
        <w:rPr>
          <w:b/>
          <w:bCs/>
          <w:sz w:val="20"/>
          <w:szCs w:val="20"/>
        </w:rPr>
        <w:t xml:space="preserve">Priorité restante pour compléter le dossier :</w:t>
      </w:r>
    </w:p>
    <w:p>
      <w:pPr>
        <w:spacing w:after="40"/>
      </w:pPr>
      <w:r>
        <w:rPr>
          <w:sz w:val="20"/>
          <w:szCs w:val="20"/>
        </w:rPr>
        <w:t xml:space="preserve">1. CP2 (interface desktop) — ajouter un module client lourd (ex. back-office Electron) ou s'appuyer sur un autre projet du parcours.</w:t>
      </w:r>
    </w:p>
    <w:p>
      <w:pPr>
        <w:spacing w:after="40"/>
      </w:pPr>
      <w:r>
        <w:rPr>
          <w:sz w:val="20"/>
          <w:szCs w:val="20"/>
        </w:rPr>
        <w:t xml:space="preserve">2. CP8 — reste à exécuter et valider les triggers/procédure/event sur une instance MySQL réelle (revue actuelle faite par relecture manuelle du script, faute de serveur disponible dans l'environnement de développement utilisé pour cette itération).</w:t>
      </w:r>
    </w:p>
    <w:sectPr>
      <w:pgSz w:w="16838" w:h="11906" w:orient="landscape"/>
      <w:pgMar w:top="720" w:right="719" w:bottom="720" w:left="71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2026-07-14T14:09:12.617Z</dcterms:created>
  <dcterms:modified xsi:type="dcterms:W3CDTF">2026-07-14T14:09:12.619Z</dcterms:modified>
</cp:coreProperties>
</file>

<file path=docProps/custom.xml><?xml version="1.0" encoding="utf-8"?>
<Properties xmlns="http://schemas.openxmlformats.org/officeDocument/2006/custom-properties" xmlns:vt="http://schemas.openxmlformats.org/officeDocument/2006/docPropsVTypes"/>
</file>