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Technical Note</w:t>
      </w:r>
    </w:p>
    <w:p>
      <w:pPr>
        <w:spacing w:after="40"/>
        <w:jc w:val="center"/>
      </w:pPr>
      <w:r>
        <w:rPr>
          <w:b/>
          <w:bCs/>
          <w:color w:val="2C5B8A"/>
          <w:sz w:val="24"/>
          <w:szCs w:val="24"/>
        </w:rPr>
        <w:t xml:space="preserve">Intelligent Financial Opportunity Analysis &amp; Recommendation Engine</w:t>
      </w:r>
    </w:p>
    <w:p>
      <w:pPr>
        <w:spacing w:after="360"/>
        <w:jc w:val="center"/>
      </w:pPr>
      <w:r>
        <w:rPr>
          <w:i/>
          <w:iCs/>
          <w:color w:val="5A6B7B"/>
          <w:sz w:val="20"/>
          <w:szCs w:val="20"/>
        </w:rPr>
        <w:t xml:space="preserve">Architecture, Modelling, Failure Modes, Scaling and Production Safeguards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Architecture and Data Flow</w:t>
      </w:r>
    </w:p>
    <w:p>
      <w:pPr>
        <w:spacing w:after="160" w:line="276"/>
      </w:pPr>
      <w:r>
        <w:rPr>
          <w:sz w:val="22"/>
          <w:szCs w:val="22"/>
        </w:rPr>
        <w:t xml:space="preserve">The system follows a linear document-processing and retrieval pipeline with two entry points — the source documents and the user's natural-language query — that converge at the scoring stage. The pipeline has seven stages, shown below.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A6B7B"/>
          <w:sz w:val="20"/>
          <w:szCs w:val="20"/>
        </w:rPr>
        <w:t xml:space="preserve">Figure 1. End-to-end architecture and data flow of the recommendation engine.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1.1 Stage-by-Stage Description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Document extraction — Financial opportunity details (investment amount, tenure, risk category, expected return, descriptive text) are extracted from the supplied documents using pattern-based (regular-expression) parsing.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Normalization — Extracted values are converted into a consistent structured format (e.g. numeric investment amounts, standardized tenure units, a fixed risk vocabulary). Values that cannot be extracted are preserved as missing rather than inferred or defaulted.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Query processing — The user's natural-language query is parsed in parallel to identify structured preferences (budget, risk, tenure, expected return) and residual free-text preferences used for textual matching.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Candidate scoring — Each normalized opportunity is scored against the parsed query on two tracks: a TF-IDF / cosine-similarity textual relevance score, and rule-based structured attribute-match scores for budget, risk, tenure and expected return.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Ranking — The five component scores are combined into a single weighted score (S = 0.15T + 0.25B + 0.25R + 0.20N + 0.15E) and opportunities are sorted in descending order of 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Result presentation — The ranked opportunities are returned together with their final score, the matching reasons, the relevant attributes, and a reference back to the source document each opportunity was extracted from.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Evaluation (offline) — Retrieved results are compared against labelled_examples.csv to compute Precision@5, Recall@5 and Hit Rate@5. This stage runs separately from the live query path and is used to assess retrieval quality, not to serve results.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1.2 Data Flow Characteristics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Two independent inputs (documents, query) are processed by separate pipelines that only meet at the candidate-scoring stage — document normalization does not depend on any query, so it can run once and be reused across many queries.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Normalized opportunity records are the single structured representation consumed by scoring; the extraction/normalization stage is the only place where raw document text is parsed.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evaluation stage is decoupled from the live retrieval path (dashed edge in Figure 1): it consumes the same ranked output but is run offline against labelled data, not on every user query.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Every stage is traceable back to a source document, which supports the explainability requirement described in Section 2.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Modelling Choices and Assumptions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2.1 Modelling Choices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TF-IDF representations with cosine similarity are used to estimate textual relevance between the query and opportunity descriptions.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Rule-based scoring (rather than a learned model) evaluates structured financial preferences — budget, risk, tenure and expected return.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 fixed weighted-sum formula (S = 0.15T + 0.25B + 0.25R + 0.20N + 0.15E) combines the five component scores into a single ranking score, with budget and risk weighted highest as the most explicit constraints.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Source-document references are attached to every result to support traceability and explainability.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 small labelled set (8 queries) is used to evaluate retrieval relevance via Precision@5, Recall@5 and Hit Rate@5.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2.2 Assumptions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supplied documents contain information that is actually relevant to the evaluation queries.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User preferences expressed in natural language can be reliably parsed into the same attribute schema used for opportunities (budget, risk, tenure, expected return).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fixed weights (0.15 / 0.25 / 0.25 / 0.20 / 0.15) are a reasonable initial ranking scheme, not a tuned or learned optimum — they have not been validated against a training dataset.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8 labelled examples are treated as ground-truth relevance judgments for evaluation purposes.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Missing attribute values are treated as unknown, not as failing or passing a match — they are excluded from scoring rather than penalized or assumed favorable.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Failure Modes</w:t>
      </w:r>
    </w:p>
    <w:p>
      <w:pPr>
        <w:spacing w:after="160" w:line="276"/>
      </w:pPr>
      <w:r>
        <w:rPr>
          <w:sz w:val="22"/>
          <w:szCs w:val="22"/>
        </w:rPr>
        <w:t xml:space="preserve">The following failure modes were identified as part of the current design; the Q007 case in the evaluation (Section 5.4 of the underlying analysis) is a concrete instance of "irrelevant/incomplete top results" below.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Ambiguous queries — the rule-based parser may misinterpret unclear, colloquial, or unusually phrased preferences (e.g. an implicit rather than explicit budget).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Missing data — missing investment, risk, tenure, or return information in a source document can prevent an opportunity from being matched accurately, even when it is genuinely relevant.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Irrelevant or incomplete top results — the system can surface opportunities that do not reflect the user's actual intent, or miss some genuinely relevant opportunities within the top-5 window, as seen in the Q007 failure analysis (2 of 4 labelled-relevant opportunities retrieved).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Fixed weights that do not generalize — the current weighting (0.15/0.25/0.25/0.20/0.15) was set by design judgement rather than learned from data, so it may not be optimal for query types or datasets outside the 8 labelled examples.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Extraction errors — incorrect values pulled from source documents propagate directly into incorrect matching and ranking downstream.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Unverified return guarantees — the system does not independently verify whether a stated expected return is realistic or guaranteed; presenting it as such would be a safety failure, not just an accuracy one.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Placeholder confidence — extraction_confidence = 1.0 is a fixed placeholder rather than a calibrated measure, so it cannot currently be used to flag low-confidence extractions.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Scaling Approach for 10 Million Documents</w:t>
      </w:r>
    </w:p>
    <w:p>
      <w:pPr>
        <w:spacing w:after="160" w:line="276"/>
      </w:pPr>
      <w:r>
        <w:rPr>
          <w:sz w:val="22"/>
          <w:szCs w:val="22"/>
        </w:rPr>
        <w:t xml:space="preserve">The current prototype has been built and evaluated on the supplied assessment dataset only, and has not been benchmarked at scale. It performs extraction, normalization and TF-IDF scoring per query, which does not scale efficiently to 10 million documents. The proposed approach separates one-time offline work from per-query online work: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15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preprocessing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and normalize all documents once, rather than repeating this work on every query.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storage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normalized opportunity records and metadata in a store designed for large-scale, low-latency access.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Precomputed indexes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and maintain text indexes and reusable document representations (e.g. TF-IDF vectors) ahead of query time.</w:t>
            </w:r>
          </w:p>
        </w:tc>
      </w:tr>
      <w:tr>
        <w:tc>
          <w:tcPr>
            <w:tcW w:type="dxa" w:w="16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filtering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structured filters (budget, tenure, risk) first to reduce 10M documents to a much smaller candidate set.</w:t>
            </w:r>
          </w:p>
        </w:tc>
      </w:tr>
      <w:tr>
        <w:tc>
          <w:tcPr>
            <w:tcW w:type="dxa" w:w="16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 retrieval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indexed text retrieval over the filtered set; evaluate approximate-nearest-neighbor methods if embedding-based retrieval is introduced later.</w:t>
            </w:r>
          </w:p>
        </w:tc>
      </w:tr>
      <w:tr>
        <w:tc>
          <w:tcPr>
            <w:tcW w:type="dxa" w:w="16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Reranking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the full hybrid scoring formula (Section 1) only to the smaller candidate set, not the whole corpus.</w:t>
            </w:r>
          </w:p>
        </w:tc>
      </w:tr>
      <w:tr>
        <w:tc>
          <w:tcPr>
            <w:tcW w:type="dxa" w:w="1600"/>
            <w:shd w:fill="FBF3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 latency, throughput, memory usage, indexing time and retrieval quality at increasing dataset sizes.</w:t>
            </w:r>
          </w:p>
        </w:tc>
      </w:tr>
    </w:tbl>
    <w:p>
      <w:pPr>
        <w:spacing w:after="160" w:before="200"/>
      </w:pPr>
      <w:r>
        <w:rPr>
          <w:b/>
          <w:bCs/>
          <w:i/>
          <w:iCs/>
          <w:color w:val="5A6B7B"/>
          <w:sz w:val="20"/>
          <w:szCs w:val="20"/>
        </w:rPr>
        <w:t xml:space="preserve">Note: </w:t>
      </w:r>
      <w:r>
        <w:rPr>
          <w:i/>
          <w:iCs/>
          <w:color w:val="5A6B7B"/>
          <w:sz w:val="20"/>
          <w:szCs w:val="20"/>
        </w:rPr>
        <w:t xml:space="preserve">these are proposed scaling measures, not results measured on the current implementation, which has only been run against the supplied assessment dataset.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Improving Evaluation with More Labelled Data</w:t>
      </w:r>
    </w:p>
    <w:p>
      <w:pPr>
        <w:spacing w:after="160" w:line="276"/>
      </w:pPr>
      <w:r>
        <w:rPr>
          <w:sz w:val="22"/>
          <w:szCs w:val="22"/>
        </w:rPr>
        <w:t xml:space="preserve">The current evaluation uses only 8 labelled queries, which is sufficient to demonstrate the metric but too small to establish generalizable performance. A larger, more diverse labelled dataset would allow the project to: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Evaluate a wider range of query types and wording variations, rather than the 8 patterns currently covered.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Identify recurring query-parsing and retrieval failures (such as the Q007 case) with enough repetition to distinguish systematic issues from one-off noise.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Measure Precision@5, Recall@5 and Hit Rate@5 on a statistically meaningful sample, with confidence intervals rather than a single mean over 8 points.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Compare alternative ranking weights (in place of the fixed 0.15/0.25/0.25/0.20/0.15 scheme) against a held-out validation set.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Maintain a separate held-out test set, distinct from the validation set, for unbiased final performance reporting.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Investigate learning-to-rank methods once enough reliable relevance labels exist to train them.</w:t>
      </w:r>
    </w:p>
    <w:p>
      <w:pPr>
        <w:spacing w:after="160" w:line="276"/>
      </w:pPr>
      <w:r>
        <w:rPr>
          <w:sz w:val="22"/>
          <w:szCs w:val="22"/>
        </w:rPr>
        <w:t xml:space="preserve">More labelled data would improve the reliability of evaluation and could support tuning of the ranking weights — it would not, by itself, guarantee better retrieval performance.</w:t>
      </w:r>
    </w:p>
    <w:p>
      <w:pPr>
        <w:pStyle w:val="Heading1"/>
        <w:pBdr>
          <w:bottom w:val="single" w:color="2C5B8A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Production Safeguards for a Financial Setting</w:t>
      </w:r>
    </w:p>
    <w:p>
      <w:pPr>
        <w:spacing w:after="160" w:line="276"/>
      </w:pPr>
      <w:r>
        <w:rPr>
          <w:sz w:val="22"/>
          <w:szCs w:val="22"/>
        </w:rPr>
        <w:t xml:space="preserve">At minimum, the following two safeguards are required before this system is used in a live financial setting; two further safeguards are included for completeness.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6.1 Source Traceability (required)</w:t>
      </w:r>
    </w:p>
    <w:p>
      <w:pPr>
        <w:spacing w:after="160" w:line="276"/>
      </w:pPr>
      <w:r>
        <w:rPr>
          <w:sz w:val="22"/>
          <w:szCs w:val="22"/>
        </w:rPr>
        <w:t xml:space="preserve">Every recommendation must include the source-document reference and the specific extracted information that produced the match, so a user (or a reviewer) can verify the underlying details rather than trusting the score alone.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6.2 No Unsupported Return Guarantees (required)</w:t>
      </w:r>
    </w:p>
    <w:p>
      <w:pPr>
        <w:spacing w:after="160" w:line="276"/>
      </w:pPr>
      <w:r>
        <w:rPr>
          <w:sz w:val="22"/>
          <w:szCs w:val="22"/>
        </w:rPr>
        <w:t xml:space="preserve">Expected returns must never be presented as guaranteed. Where return information has not been independently verified, the system must disclose this explicitly rather than implying certainty.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6.3 Missing-Data Handling</w:t>
      </w:r>
    </w:p>
    <w:p>
      <w:pPr>
        <w:spacing w:after="160" w:line="276"/>
      </w:pPr>
      <w:r>
        <w:rPr>
          <w:sz w:val="22"/>
          <w:szCs w:val="22"/>
        </w:rPr>
        <w:t xml:space="preserve">Missing attribute values must remain visibly missing — never invented, defaulted, or silently treated as a confirmed match — and the system should disclose when an important attribute used in scoring was unavailable.</w:t>
      </w:r>
    </w:p>
    <w:p>
      <w:pPr>
        <w:pStyle w:val="Heading2"/>
        <w:spacing w:after="120" w:before="240"/>
      </w:pPr>
      <w:r>
        <w:rPr>
          <w:b/>
          <w:bCs/>
          <w:color w:val="2C5B8A"/>
          <w:sz w:val="24"/>
          <w:szCs w:val="24"/>
        </w:rPr>
        <w:t xml:space="preserve">6.4 Clear Limitations and Scope</w:t>
      </w:r>
    </w:p>
    <w:p>
      <w:pPr>
        <w:spacing w:after="160" w:line="276"/>
      </w:pPr>
      <w:r>
        <w:rPr>
          <w:sz w:val="22"/>
          <w:szCs w:val="22"/>
        </w:rPr>
        <w:t xml:space="preserve">Ranking scores must be described as query-matching scores only, not as measures of investment safety, predictions of future performance, or personalized financial advice. Outputs should state this scope explicitly.</w:t>
      </w:r>
    </w:p>
    <w:p>
      <w:pPr>
        <w:spacing w:after="160" w:line="276"/>
      </w:pPr>
      <w:r>
        <w:rPr>
          <w:i/>
          <w:iCs/>
          <w:color w:val="5A6B7B"/>
          <w:sz w:val="20"/>
          <w:szCs w:val="20"/>
        </w:rPr>
        <w:t xml:space="preserve">These are proposed production requirements based on the current prototype; the prototype itself does not establish regulatory compliance or independent verification of the underlying financial products.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eb00e326ca3f5ca9b3afab6222657f984a6c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2026-09-18T12:06:45.799Z</dcterms:created>
  <dcterms:modified xsi:type="dcterms:W3CDTF">2026-09-18T12:06:45.807Z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