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B22F" w14:textId="77777777" w:rsidR="00A9577D" w:rsidRPr="00B87817" w:rsidRDefault="00000000">
      <w:pPr>
        <w:spacing w:after="10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b/>
          <w:bCs/>
          <w:sz w:val="48"/>
          <w:szCs w:val="48"/>
        </w:rPr>
        <w:t>Problem Statement</w:t>
      </w:r>
    </w:p>
    <w:p w14:paraId="5EC96A7F" w14:textId="77777777" w:rsidR="00A9577D" w:rsidRPr="00B87817" w:rsidRDefault="00000000">
      <w:pPr>
        <w:spacing w:after="40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i/>
          <w:iCs/>
          <w:color w:val="444444"/>
          <w:sz w:val="28"/>
          <w:szCs w:val="28"/>
        </w:rPr>
        <w:t>Customer Value, Risk &amp; Retention Analysis — Indian Retail Banking Dataset</w:t>
      </w:r>
    </w:p>
    <w:p w14:paraId="70077788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t>1. Background</w:t>
      </w:r>
    </w:p>
    <w:p w14:paraId="69817DBC" w14:textId="77777777" w:rsidR="00A9577D" w:rsidRPr="00B87817" w:rsidRDefault="00000000">
      <w:pPr>
        <w:spacing w:after="120"/>
        <w:rPr>
          <w:rFonts w:ascii="Calisto MT" w:hAnsi="Calisto MT"/>
          <w:sz w:val="24"/>
          <w:szCs w:val="24"/>
        </w:rPr>
      </w:pPr>
      <w:r w:rsidRPr="00B87817">
        <w:rPr>
          <w:rFonts w:ascii="Calisto MT" w:hAnsi="Calisto MT"/>
          <w:sz w:val="24"/>
          <w:szCs w:val="24"/>
        </w:rPr>
        <w:t xml:space="preserve">A retail bank maintains data on its customers, their account activity, and the branches that service them. The data is spread across three related tables: a </w:t>
      </w:r>
      <w:proofErr w:type="gramStart"/>
      <w:r w:rsidRPr="00B87817">
        <w:rPr>
          <w:rFonts w:ascii="Calisto MT" w:hAnsi="Calisto MT"/>
          <w:sz w:val="24"/>
          <w:szCs w:val="24"/>
        </w:rPr>
        <w:t>Customers</w:t>
      </w:r>
      <w:proofErr w:type="gramEnd"/>
      <w:r w:rsidRPr="00B87817">
        <w:rPr>
          <w:rFonts w:ascii="Calisto MT" w:hAnsi="Calisto MT"/>
          <w:sz w:val="24"/>
          <w:szCs w:val="24"/>
        </w:rPr>
        <w:t xml:space="preserve"> table (profile, account, credit, and risk attributes), a Branch Master table (branch, city, and bank details), and a Transactions Log (individual credit/debit transactions per customer). Leadership wants to understand where value and risk are concentrated across the customer base, which accounts require urgent attention, and which customers are disengaging — so that retention, collections, and cross-sell efforts can be targeted rather than applied uniformly.</w:t>
      </w:r>
    </w:p>
    <w:p w14:paraId="27C193B4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t>2. Dataset Overview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A9577D" w:rsidRPr="00B87817" w14:paraId="4971AB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4E78"/>
          </w:tcPr>
          <w:p w14:paraId="484C2447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3300" w:type="dxa"/>
            <w:shd w:val="clear" w:color="auto" w:fill="1F4E78"/>
          </w:tcPr>
          <w:p w14:paraId="2C188100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300" w:type="dxa"/>
            <w:shd w:val="clear" w:color="auto" w:fill="1F4E78"/>
          </w:tcPr>
          <w:p w14:paraId="4319A23C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b/>
                <w:bCs/>
                <w:color w:val="FFFFFF"/>
                <w:sz w:val="22"/>
                <w:szCs w:val="22"/>
              </w:rPr>
              <w:t>Key Field(s)</w:t>
            </w:r>
          </w:p>
        </w:tc>
      </w:tr>
      <w:tr w:rsidR="00A9577D" w:rsidRPr="00B87817" w14:paraId="75B83E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8C716C0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Customers</w:t>
            </w:r>
          </w:p>
        </w:tc>
        <w:tc>
          <w:tcPr>
            <w:tcW w:w="3300" w:type="dxa"/>
          </w:tcPr>
          <w:p w14:paraId="78C09E09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One row per customer — demographics, account balance, credit score, loan status, engagement signals</w:t>
            </w:r>
          </w:p>
        </w:tc>
        <w:tc>
          <w:tcPr>
            <w:tcW w:w="3300" w:type="dxa"/>
          </w:tcPr>
          <w:p w14:paraId="107BBAC1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proofErr w:type="spellStart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customer_id</w:t>
            </w:r>
            <w:proofErr w:type="spellEnd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 xml:space="preserve"> (PK), </w:t>
            </w:r>
            <w:proofErr w:type="spellStart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branch_id</w:t>
            </w:r>
            <w:proofErr w:type="spellEnd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 xml:space="preserve"> (FK)</w:t>
            </w:r>
          </w:p>
        </w:tc>
      </w:tr>
      <w:tr w:rsidR="00A9577D" w:rsidRPr="00B87817" w14:paraId="692970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84D28C4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Branch Master</w:t>
            </w:r>
          </w:p>
        </w:tc>
        <w:tc>
          <w:tcPr>
            <w:tcW w:w="3300" w:type="dxa"/>
          </w:tcPr>
          <w:p w14:paraId="0321C458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One row per branch — branch name, city, bank</w:t>
            </w:r>
          </w:p>
        </w:tc>
        <w:tc>
          <w:tcPr>
            <w:tcW w:w="3300" w:type="dxa"/>
          </w:tcPr>
          <w:p w14:paraId="41760EFA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proofErr w:type="spellStart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branch_id</w:t>
            </w:r>
            <w:proofErr w:type="spellEnd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 xml:space="preserve"> (PK)</w:t>
            </w:r>
          </w:p>
        </w:tc>
      </w:tr>
      <w:tr w:rsidR="00A9577D" w:rsidRPr="00B87817" w14:paraId="11C9C71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75D578BD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Transactions Log</w:t>
            </w:r>
          </w:p>
        </w:tc>
        <w:tc>
          <w:tcPr>
            <w:tcW w:w="3300" w:type="dxa"/>
          </w:tcPr>
          <w:p w14:paraId="1985D237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One row per transaction — date, type (credit/debit), amount</w:t>
            </w:r>
          </w:p>
        </w:tc>
        <w:tc>
          <w:tcPr>
            <w:tcW w:w="3300" w:type="dxa"/>
          </w:tcPr>
          <w:p w14:paraId="3DDE3CA8" w14:textId="77777777" w:rsidR="00A9577D" w:rsidRPr="00B87817" w:rsidRDefault="00000000">
            <w:pPr>
              <w:rPr>
                <w:rFonts w:ascii="Calisto MT" w:hAnsi="Calisto MT"/>
                <w:sz w:val="22"/>
                <w:szCs w:val="22"/>
              </w:rPr>
            </w:pPr>
            <w:proofErr w:type="spellStart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transaction_id</w:t>
            </w:r>
            <w:proofErr w:type="spellEnd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 xml:space="preserve"> (PK), </w:t>
            </w:r>
            <w:proofErr w:type="spellStart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>customer_id</w:t>
            </w:r>
            <w:proofErr w:type="spellEnd"/>
            <w:r w:rsidRPr="00B87817">
              <w:rPr>
                <w:rFonts w:ascii="Calisto MT" w:hAnsi="Calisto MT"/>
                <w:color w:val="000000"/>
                <w:sz w:val="22"/>
                <w:szCs w:val="22"/>
              </w:rPr>
              <w:t xml:space="preserve"> (FK)</w:t>
            </w:r>
          </w:p>
        </w:tc>
      </w:tr>
    </w:tbl>
    <w:p w14:paraId="04E83AFE" w14:textId="77777777" w:rsidR="00A9577D" w:rsidRPr="00B87817" w:rsidRDefault="00A9577D">
      <w:pPr>
        <w:spacing w:after="200"/>
        <w:rPr>
          <w:rFonts w:ascii="Calisto MT" w:hAnsi="Calisto MT"/>
          <w:sz w:val="22"/>
          <w:szCs w:val="22"/>
        </w:rPr>
      </w:pPr>
    </w:p>
    <w:p w14:paraId="5C2BD021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t>3. Problem Statement</w:t>
      </w:r>
    </w:p>
    <w:p w14:paraId="17DC6220" w14:textId="77777777" w:rsidR="00A9577D" w:rsidRPr="00B87817" w:rsidRDefault="00000000">
      <w:pPr>
        <w:spacing w:after="12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 xml:space="preserve">Given customer profile data, branch data, and transaction history, the bank needs to: (a) identify which customers represent the greatest combination of value and risk, (b) flag accounts that are dormant or approaching dormancy under RBI guidelines, (c) detect early </w:t>
      </w:r>
      <w:proofErr w:type="spellStart"/>
      <w:r w:rsidRPr="00B87817">
        <w:rPr>
          <w:rFonts w:ascii="Calisto MT" w:hAnsi="Calisto MT"/>
          <w:sz w:val="22"/>
          <w:szCs w:val="22"/>
        </w:rPr>
        <w:t>behavioral</w:t>
      </w:r>
      <w:proofErr w:type="spellEnd"/>
      <w:r w:rsidRPr="00B87817">
        <w:rPr>
          <w:rFonts w:ascii="Calisto MT" w:hAnsi="Calisto MT"/>
          <w:sz w:val="22"/>
          <w:szCs w:val="22"/>
        </w:rPr>
        <w:t xml:space="preserve"> warning signs of financial stress from transaction patterns, and (d) recommend targeted actions (retention, monitoring, or </w:t>
      </w:r>
      <w:proofErr w:type="spellStart"/>
      <w:r w:rsidRPr="00B87817">
        <w:rPr>
          <w:rFonts w:ascii="Calisto MT" w:hAnsi="Calisto MT"/>
          <w:sz w:val="22"/>
          <w:szCs w:val="22"/>
        </w:rPr>
        <w:t>deprioritization</w:t>
      </w:r>
      <w:proofErr w:type="spellEnd"/>
      <w:r w:rsidRPr="00B87817">
        <w:rPr>
          <w:rFonts w:ascii="Calisto MT" w:hAnsi="Calisto MT"/>
          <w:sz w:val="22"/>
          <w:szCs w:val="22"/>
        </w:rPr>
        <w:t>) for each customer segment — backed by data, not assumption.</w:t>
      </w:r>
    </w:p>
    <w:p w14:paraId="7CAD1AD2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t>4. Key Business Questions to Answer</w:t>
      </w:r>
    </w:p>
    <w:p w14:paraId="17EAE925" w14:textId="77777777" w:rsidR="00A9577D" w:rsidRPr="00B87817" w:rsidRDefault="00000000">
      <w:pPr>
        <w:pStyle w:val="Heading2"/>
        <w:spacing w:before="250" w:after="120"/>
        <w:rPr>
          <w:rFonts w:ascii="Calisto MT" w:hAnsi="Calisto MT"/>
          <w:sz w:val="28"/>
          <w:szCs w:val="28"/>
        </w:rPr>
      </w:pPr>
      <w:r w:rsidRPr="00B87817">
        <w:rPr>
          <w:rFonts w:ascii="Calisto MT" w:hAnsi="Calisto MT"/>
          <w:sz w:val="28"/>
          <w:szCs w:val="28"/>
        </w:rPr>
        <w:t>A. Value &amp; Risk Segmentation</w:t>
      </w:r>
    </w:p>
    <w:p w14:paraId="29FEF7DA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Who are our highest-value customers, and what proportion of them are also high risk?</w:t>
      </w:r>
    </w:p>
    <w:p w14:paraId="35771DA5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How much total balance (</w:t>
      </w:r>
      <w:r w:rsidRPr="00B87817">
        <w:rPr>
          <w:sz w:val="22"/>
          <w:szCs w:val="22"/>
        </w:rPr>
        <w:t>₹</w:t>
      </w:r>
      <w:r w:rsidRPr="00B87817">
        <w:rPr>
          <w:rFonts w:ascii="Calisto MT" w:hAnsi="Calisto MT"/>
          <w:sz w:val="22"/>
          <w:szCs w:val="22"/>
        </w:rPr>
        <w:t>) is concentrated in the High Value + High Risk segment?</w:t>
      </w:r>
    </w:p>
    <w:p w14:paraId="35B9064E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 xml:space="preserve">What distinguishes Low Risk customers from </w:t>
      </w:r>
      <w:proofErr w:type="gramStart"/>
      <w:r w:rsidRPr="00B87817">
        <w:rPr>
          <w:rFonts w:ascii="Calisto MT" w:hAnsi="Calisto MT"/>
          <w:sz w:val="22"/>
          <w:szCs w:val="22"/>
        </w:rPr>
        <w:t>High Risk</w:t>
      </w:r>
      <w:proofErr w:type="gramEnd"/>
      <w:r w:rsidRPr="00B87817">
        <w:rPr>
          <w:rFonts w:ascii="Calisto MT" w:hAnsi="Calisto MT"/>
          <w:sz w:val="22"/>
          <w:szCs w:val="22"/>
        </w:rPr>
        <w:t xml:space="preserve"> ones — credit score, income level, number of loans, or products held?</w:t>
      </w:r>
    </w:p>
    <w:p w14:paraId="16339D21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Which branches or cities have the highest concentration of risky, high-value customers?</w:t>
      </w:r>
    </w:p>
    <w:p w14:paraId="551FB6B5" w14:textId="77777777" w:rsidR="00A9577D" w:rsidRPr="00B87817" w:rsidRDefault="00000000">
      <w:pPr>
        <w:pStyle w:val="Heading2"/>
        <w:spacing w:before="250" w:after="120"/>
        <w:rPr>
          <w:rFonts w:ascii="Calisto MT" w:hAnsi="Calisto MT"/>
          <w:sz w:val="28"/>
          <w:szCs w:val="28"/>
        </w:rPr>
      </w:pPr>
      <w:r w:rsidRPr="00B87817">
        <w:rPr>
          <w:rFonts w:ascii="Calisto MT" w:hAnsi="Calisto MT"/>
          <w:sz w:val="28"/>
          <w:szCs w:val="28"/>
        </w:rPr>
        <w:lastRenderedPageBreak/>
        <w:t>B. Engagement &amp; Dormancy (RBI Compliance)</w:t>
      </w:r>
    </w:p>
    <w:p w14:paraId="3CB10EAD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What percentage of accounts qualify as Dormant under RBI's 24-month rule, and what balance do they hold?</w:t>
      </w:r>
    </w:p>
    <w:p w14:paraId="6F8CE347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Which accounts are Inactive (12–24 months) and at risk of becoming dormant soon — an early-warning list?</w:t>
      </w:r>
    </w:p>
    <w:p w14:paraId="0AF8123B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Is dormancy correlated with risk level or value tier? Are we losing high-value customers to inactivity?</w:t>
      </w:r>
    </w:p>
    <w:p w14:paraId="69E02996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Which branches have the highest dormancy rates — a possible sign of local service issues?</w:t>
      </w:r>
    </w:p>
    <w:p w14:paraId="57A85C9F" w14:textId="77777777" w:rsidR="00A9577D" w:rsidRPr="00B87817" w:rsidRDefault="00000000">
      <w:pPr>
        <w:pStyle w:val="Heading2"/>
        <w:spacing w:before="250" w:after="120"/>
        <w:rPr>
          <w:rFonts w:ascii="Calisto MT" w:hAnsi="Calisto MT"/>
          <w:sz w:val="28"/>
          <w:szCs w:val="28"/>
        </w:rPr>
      </w:pPr>
      <w:r w:rsidRPr="00B87817">
        <w:rPr>
          <w:rFonts w:ascii="Calisto MT" w:hAnsi="Calisto MT"/>
          <w:sz w:val="28"/>
          <w:szCs w:val="28"/>
        </w:rPr>
        <w:t xml:space="preserve">C. Transaction </w:t>
      </w:r>
      <w:proofErr w:type="spellStart"/>
      <w:r w:rsidRPr="00B87817">
        <w:rPr>
          <w:rFonts w:ascii="Calisto MT" w:hAnsi="Calisto MT"/>
          <w:sz w:val="28"/>
          <w:szCs w:val="28"/>
        </w:rPr>
        <w:t>Behavior</w:t>
      </w:r>
      <w:proofErr w:type="spellEnd"/>
      <w:r w:rsidRPr="00B87817">
        <w:rPr>
          <w:rFonts w:ascii="Calisto MT" w:hAnsi="Calisto MT"/>
          <w:sz w:val="28"/>
          <w:szCs w:val="28"/>
        </w:rPr>
        <w:t xml:space="preserve"> &amp; Early Risk Signals</w:t>
      </w:r>
    </w:p>
    <w:p w14:paraId="70F626A3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Which customers show negative net cash flow (spending more than they earn) — a leading indicator of stress?</w:t>
      </w:r>
    </w:p>
    <w:p w14:paraId="2E35241E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How does transaction volume/frequency differ between High Risk and Low Risk customers?</w:t>
      </w:r>
    </w:p>
    <w:p w14:paraId="47B751C3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Are there customers whose transaction activity has dropped sharply relative to their account history?</w:t>
      </w:r>
    </w:p>
    <w:p w14:paraId="5EC88EE3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What is the credit-to-debit ratio by customer segment, and does it predict risk level?</w:t>
      </w:r>
    </w:p>
    <w:p w14:paraId="4F1E8DA1" w14:textId="77777777" w:rsidR="00A9577D" w:rsidRPr="00B87817" w:rsidRDefault="00000000">
      <w:pPr>
        <w:pStyle w:val="Heading2"/>
        <w:spacing w:before="250" w:after="120"/>
        <w:rPr>
          <w:rFonts w:ascii="Calisto MT" w:hAnsi="Calisto MT"/>
          <w:sz w:val="28"/>
          <w:szCs w:val="28"/>
        </w:rPr>
      </w:pPr>
      <w:r w:rsidRPr="00B87817">
        <w:rPr>
          <w:rFonts w:ascii="Calisto MT" w:hAnsi="Calisto MT"/>
          <w:sz w:val="28"/>
          <w:szCs w:val="28"/>
        </w:rPr>
        <w:t>D. Product Holding &amp; Cross-Sell</w:t>
      </w:r>
    </w:p>
    <w:p w14:paraId="622C3A4B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Do customers with more products held show higher balances and better credit scores?</w:t>
      </w:r>
    </w:p>
    <w:p w14:paraId="55C54329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How many customers hold only one product, and what is their combined value — the cross-sell opportunity?</w:t>
      </w:r>
    </w:p>
    <w:p w14:paraId="0BAE55AA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Is single-product ownership linked to higher dormancy or higher risk?</w:t>
      </w:r>
    </w:p>
    <w:p w14:paraId="3A18FF19" w14:textId="77777777" w:rsidR="00A9577D" w:rsidRPr="00B87817" w:rsidRDefault="00000000">
      <w:pPr>
        <w:pStyle w:val="Heading2"/>
        <w:spacing w:before="250" w:after="120"/>
        <w:rPr>
          <w:rFonts w:ascii="Calisto MT" w:hAnsi="Calisto MT"/>
          <w:sz w:val="28"/>
          <w:szCs w:val="28"/>
        </w:rPr>
      </w:pPr>
      <w:r w:rsidRPr="00B87817">
        <w:rPr>
          <w:rFonts w:ascii="Calisto MT" w:hAnsi="Calisto MT"/>
          <w:sz w:val="28"/>
          <w:szCs w:val="28"/>
        </w:rPr>
        <w:t>E. Branch-Level Performance</w:t>
      </w:r>
    </w:p>
    <w:p w14:paraId="6BFF3F97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 xml:space="preserve">Which branches carry the highest </w:t>
      </w:r>
      <w:r w:rsidRPr="00B87817">
        <w:rPr>
          <w:sz w:val="22"/>
          <w:szCs w:val="22"/>
        </w:rPr>
        <w:t>₹</w:t>
      </w:r>
      <w:r w:rsidRPr="00B87817">
        <w:rPr>
          <w:rFonts w:ascii="Calisto MT" w:hAnsi="Calisto MT"/>
          <w:sz w:val="22"/>
          <w:szCs w:val="22"/>
        </w:rPr>
        <w:t xml:space="preserve"> exposure in high-risk accounts?</w:t>
      </w:r>
    </w:p>
    <w:p w14:paraId="3A377812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How does average credit score and balance vary by branch, city, and bank?</w:t>
      </w:r>
    </w:p>
    <w:p w14:paraId="7D0619E2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Are risk and dormancy evenly spread, or concentrated in specific branches/cities?</w:t>
      </w:r>
    </w:p>
    <w:p w14:paraId="6E1C0103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t>5. What We Need to Find Out (Expected Outputs)</w:t>
      </w:r>
    </w:p>
    <w:p w14:paraId="435FD17E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 xml:space="preserve">A Value-Risk Matrix segmenting all customers into 6 groups (High/Low Value × Low/Medium/High Risk) with count and </w:t>
      </w:r>
      <w:r w:rsidRPr="00B87817">
        <w:rPr>
          <w:sz w:val="22"/>
          <w:szCs w:val="22"/>
        </w:rPr>
        <w:t>₹</w:t>
      </w:r>
      <w:r w:rsidRPr="00B87817">
        <w:rPr>
          <w:rFonts w:ascii="Calisto MT" w:hAnsi="Calisto MT"/>
          <w:sz w:val="22"/>
          <w:szCs w:val="22"/>
        </w:rPr>
        <w:t xml:space="preserve"> exposure per group.</w:t>
      </w:r>
    </w:p>
    <w:p w14:paraId="4DF49CEC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 prioritized action list of High Value + High Risk (and ideally also Dormant) customers, ranked by balance.</w:t>
      </w:r>
    </w:p>
    <w:p w14:paraId="3C34F4E2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An RBI-compliant dormancy breakdown (Active / Inactive / Dormant) with associated balance exposure.</w:t>
      </w:r>
    </w:p>
    <w:p w14:paraId="56A35233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 set of early-warning indicators (negative cash flow, declining credit score band, approaching-dormancy window) to catch risk before it materializes.</w:t>
      </w:r>
    </w:p>
    <w:p w14:paraId="52954F09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A branch-level risk and dormancy heatmap to identify localized problem areas.</w:t>
      </w:r>
    </w:p>
    <w:p w14:paraId="4505E44F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Clear, differentiated recommendations per segment — e.g., interest-rate relief for payment-stressed customers, relationship outreach for disengaged customers, reduced exposure for chronic high-risk customers.</w:t>
      </w:r>
    </w:p>
    <w:p w14:paraId="0E1494F3" w14:textId="77777777" w:rsidR="00A9577D" w:rsidRPr="00B87817" w:rsidRDefault="00000000">
      <w:pPr>
        <w:pStyle w:val="Heading1"/>
        <w:spacing w:before="300" w:after="150"/>
        <w:rPr>
          <w:rFonts w:ascii="Calisto MT" w:hAnsi="Calisto MT"/>
          <w:sz w:val="36"/>
          <w:szCs w:val="36"/>
        </w:rPr>
      </w:pPr>
      <w:r w:rsidRPr="00B87817">
        <w:rPr>
          <w:rFonts w:ascii="Calisto MT" w:hAnsi="Calisto MT"/>
          <w:sz w:val="36"/>
          <w:szCs w:val="36"/>
        </w:rPr>
        <w:lastRenderedPageBreak/>
        <w:t>6. Success Criteria</w:t>
      </w:r>
    </w:p>
    <w:p w14:paraId="46A2F77B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Every customer can be placed into exactly one Value-Risk segment with a clear, documented threshold.</w:t>
      </w:r>
    </w:p>
    <w:p w14:paraId="74FD1547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Dormancy classification matches RBI's official 24-month definition, not an arbitrary cutoff.</w:t>
      </w:r>
    </w:p>
    <w:p w14:paraId="2C263EB4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 xml:space="preserve">The highest </w:t>
      </w:r>
      <w:r w:rsidRPr="00B87817">
        <w:rPr>
          <w:sz w:val="22"/>
          <w:szCs w:val="22"/>
        </w:rPr>
        <w:t>₹</w:t>
      </w:r>
      <w:r w:rsidRPr="00B87817">
        <w:rPr>
          <w:rFonts w:ascii="Calisto MT" w:hAnsi="Calisto MT"/>
          <w:sz w:val="22"/>
          <w:szCs w:val="22"/>
        </w:rPr>
        <w:t xml:space="preserve"> exposure segments are clearly identified and </w:t>
      </w:r>
      <w:proofErr w:type="spellStart"/>
      <w:r w:rsidRPr="00B87817">
        <w:rPr>
          <w:rFonts w:ascii="Calisto MT" w:hAnsi="Calisto MT"/>
          <w:sz w:val="22"/>
          <w:szCs w:val="22"/>
        </w:rPr>
        <w:t>rankable</w:t>
      </w:r>
      <w:proofErr w:type="spellEnd"/>
      <w:r w:rsidRPr="00B87817">
        <w:rPr>
          <w:rFonts w:ascii="Calisto MT" w:hAnsi="Calisto MT"/>
          <w:sz w:val="22"/>
          <w:szCs w:val="22"/>
        </w:rPr>
        <w:t>, not just customer counts.</w:t>
      </w:r>
    </w:p>
    <w:p w14:paraId="5240473F" w14:textId="77777777" w:rsidR="00A9577D" w:rsidRPr="00B87817" w:rsidRDefault="00000000">
      <w:pPr>
        <w:pStyle w:val="ListParagraph"/>
        <w:numPr>
          <w:ilvl w:val="0"/>
          <w:numId w:val="1"/>
        </w:numPr>
        <w:spacing w:after="80"/>
        <w:rPr>
          <w:rFonts w:ascii="Calisto MT" w:hAnsi="Calisto MT"/>
          <w:sz w:val="22"/>
          <w:szCs w:val="22"/>
        </w:rPr>
      </w:pPr>
      <w:r w:rsidRPr="00B87817">
        <w:rPr>
          <w:rFonts w:ascii="Calisto MT" w:hAnsi="Calisto MT"/>
          <w:sz w:val="22"/>
          <w:szCs w:val="22"/>
        </w:rPr>
        <w:t>Recommendations are tied to root cause (credit stress, disengagement, or service issue) rather than a single blanket action.</w:t>
      </w:r>
    </w:p>
    <w:p w14:paraId="443CE570" w14:textId="30F5135C" w:rsidR="00A9577D" w:rsidRPr="00B87817" w:rsidRDefault="00A9577D">
      <w:pPr>
        <w:rPr>
          <w:rFonts w:ascii="Calisto MT" w:hAnsi="Calisto MT"/>
          <w:sz w:val="22"/>
          <w:szCs w:val="22"/>
        </w:rPr>
      </w:pPr>
    </w:p>
    <w:sectPr w:rsidR="00A9577D" w:rsidRPr="00B878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00A7E"/>
    <w:multiLevelType w:val="hybridMultilevel"/>
    <w:tmpl w:val="DD3A9D66"/>
    <w:lvl w:ilvl="0" w:tplc="F7A641C2">
      <w:start w:val="1"/>
      <w:numFmt w:val="bullet"/>
      <w:lvlText w:val="●"/>
      <w:lvlJc w:val="left"/>
      <w:pPr>
        <w:ind w:left="720" w:hanging="360"/>
      </w:pPr>
    </w:lvl>
    <w:lvl w:ilvl="1" w:tplc="04BE6FBC">
      <w:start w:val="1"/>
      <w:numFmt w:val="bullet"/>
      <w:lvlText w:val="○"/>
      <w:lvlJc w:val="left"/>
      <w:pPr>
        <w:ind w:left="1440" w:hanging="360"/>
      </w:pPr>
    </w:lvl>
    <w:lvl w:ilvl="2" w:tplc="205A63D0">
      <w:start w:val="1"/>
      <w:numFmt w:val="bullet"/>
      <w:lvlText w:val="■"/>
      <w:lvlJc w:val="left"/>
      <w:pPr>
        <w:ind w:left="2160" w:hanging="360"/>
      </w:pPr>
    </w:lvl>
    <w:lvl w:ilvl="3" w:tplc="8DE868E0">
      <w:start w:val="1"/>
      <w:numFmt w:val="bullet"/>
      <w:lvlText w:val="●"/>
      <w:lvlJc w:val="left"/>
      <w:pPr>
        <w:ind w:left="2880" w:hanging="360"/>
      </w:pPr>
    </w:lvl>
    <w:lvl w:ilvl="4" w:tplc="D2B4E988">
      <w:start w:val="1"/>
      <w:numFmt w:val="bullet"/>
      <w:lvlText w:val="○"/>
      <w:lvlJc w:val="left"/>
      <w:pPr>
        <w:ind w:left="3600" w:hanging="360"/>
      </w:pPr>
    </w:lvl>
    <w:lvl w:ilvl="5" w:tplc="C4E29874">
      <w:start w:val="1"/>
      <w:numFmt w:val="bullet"/>
      <w:lvlText w:val="■"/>
      <w:lvlJc w:val="left"/>
      <w:pPr>
        <w:ind w:left="4320" w:hanging="360"/>
      </w:pPr>
    </w:lvl>
    <w:lvl w:ilvl="6" w:tplc="4028CE7E">
      <w:start w:val="1"/>
      <w:numFmt w:val="bullet"/>
      <w:lvlText w:val="●"/>
      <w:lvlJc w:val="left"/>
      <w:pPr>
        <w:ind w:left="5040" w:hanging="360"/>
      </w:pPr>
    </w:lvl>
    <w:lvl w:ilvl="7" w:tplc="2DD00968">
      <w:start w:val="1"/>
      <w:numFmt w:val="bullet"/>
      <w:lvlText w:val="●"/>
      <w:lvlJc w:val="left"/>
      <w:pPr>
        <w:ind w:left="5760" w:hanging="360"/>
      </w:pPr>
    </w:lvl>
    <w:lvl w:ilvl="8" w:tplc="1DFCD03A">
      <w:start w:val="1"/>
      <w:numFmt w:val="bullet"/>
      <w:lvlText w:val="●"/>
      <w:lvlJc w:val="left"/>
      <w:pPr>
        <w:ind w:left="6480" w:hanging="360"/>
      </w:pPr>
    </w:lvl>
  </w:abstractNum>
  <w:num w:numId="1" w16cid:durableId="881208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77D"/>
    <w:rsid w:val="00A9577D"/>
    <w:rsid w:val="00B87817"/>
    <w:rsid w:val="00E3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8B54"/>
  <w15:docId w15:val="{44FA0FED-BA49-4C0E-8239-D6375EA2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Brijmohan Upadhyay</cp:lastModifiedBy>
  <cp:revision>2</cp:revision>
  <dcterms:created xsi:type="dcterms:W3CDTF">2026-08-17T13:03:00Z</dcterms:created>
  <dcterms:modified xsi:type="dcterms:W3CDTF">2026-10-19T22:08:00Z</dcterms:modified>
</cp:coreProperties>
</file>