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XOR Function Using Linear inequalities and Graphical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Representation :-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30"/>
        <w:gridCol w:w="1530"/>
        <w:gridCol w:w="4530"/>
        <w:tblGridChange w:id="0">
          <w:tblGrid>
            <w:gridCol w:w="1425"/>
            <w:gridCol w:w="1530"/>
            <w:gridCol w:w="153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Equations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&lt;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&gt;=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&gt;=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&lt;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Simplifying the equations :-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.0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.0 &lt;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&lt; 0</w:t>
        <w:tab/>
      </w:r>
    </w:p>
    <w:p w:rsidR="00000000" w:rsidDel="00000000" w:rsidP="00000000" w:rsidRDefault="00000000" w:rsidRPr="00000000" w14:paraId="0000001D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.0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.1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&gt;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.1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.0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 &gt;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.1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.1 &lt;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 </w:t>
      </w:r>
      <w:r w:rsidDel="00000000" w:rsidR="00000000" w:rsidRPr="00000000">
        <w:rPr>
          <w:sz w:val="36"/>
          <w:szCs w:val="36"/>
          <w:rtl w:val="0"/>
        </w:rPr>
        <w:t xml:space="preserve">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&lt;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Fig : XOR Graph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