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6B1" w:rsidRPr="00A82227" w:rsidRDefault="00ED06B1" w:rsidP="00ED06B1">
      <w:pPr>
        <w:pBdr>
          <w:bottom w:val="single" w:sz="6" w:space="0" w:color="A2A9B1"/>
        </w:pBdr>
        <w:shd w:val="clear" w:color="auto" w:fill="FFFFFF"/>
        <w:spacing w:after="60"/>
        <w:outlineLvl w:val="0"/>
        <w:rPr>
          <w:rFonts w:ascii="Times New Roman" w:eastAsia="Times New Roman" w:hAnsi="Times New Roman" w:cs="Times New Roman"/>
          <w:color w:val="000000" w:themeColor="text1"/>
          <w:kern w:val="36"/>
          <w:lang w:val="es-ES"/>
        </w:rPr>
      </w:pPr>
      <w:r w:rsidRPr="00A82227">
        <w:rPr>
          <w:rFonts w:ascii="Times New Roman" w:eastAsia="Times New Roman" w:hAnsi="Times New Roman" w:cs="Times New Roman"/>
          <w:color w:val="000000" w:themeColor="text1"/>
          <w:kern w:val="36"/>
          <w:lang w:val="es-ES"/>
        </w:rPr>
        <w:t>Análisis PESTEL</w:t>
      </w:r>
    </w:p>
    <w:p w:rsidR="00ED06B1" w:rsidRPr="00A82227" w:rsidRDefault="00ED06B1">
      <w:pPr>
        <w:rPr>
          <w:rFonts w:ascii="Times New Roman" w:hAnsi="Times New Roman" w:cs="Times New Roman"/>
          <w:color w:val="000000" w:themeColor="text1"/>
        </w:rPr>
      </w:pPr>
    </w:p>
    <w:p w:rsidR="00ED06B1" w:rsidRPr="00A82227" w:rsidRDefault="00ED06B1">
      <w:pPr>
        <w:rPr>
          <w:rFonts w:ascii="Times New Roman" w:hAnsi="Times New Roman" w:cs="Times New Roman"/>
          <w:color w:val="000000" w:themeColor="text1"/>
        </w:rPr>
      </w:pPr>
    </w:p>
    <w:p w:rsidR="00ED06B1" w:rsidRPr="00A82227" w:rsidRDefault="00ED06B1">
      <w:pPr>
        <w:rPr>
          <w:rFonts w:ascii="Times New Roman" w:hAnsi="Times New Roman" w:cs="Times New Roman"/>
          <w:color w:val="000000" w:themeColor="text1"/>
        </w:rPr>
      </w:pPr>
      <w:r w:rsidRPr="00A82227">
        <w:rPr>
          <w:rFonts w:ascii="Times New Roman" w:hAnsi="Times New Roman" w:cs="Times New Roman"/>
          <w:color w:val="000000" w:themeColor="text1"/>
        </w:rPr>
        <w:t>Factores politicos:</w:t>
      </w:r>
    </w:p>
    <w:p w:rsidR="005407C3" w:rsidRPr="00A82227" w:rsidRDefault="005407C3">
      <w:pPr>
        <w:rPr>
          <w:rFonts w:ascii="Times New Roman" w:hAnsi="Times New Roman" w:cs="Times New Roman"/>
          <w:color w:val="000000" w:themeColor="text1"/>
        </w:rPr>
      </w:pPr>
    </w:p>
    <w:p w:rsidR="005407C3" w:rsidRPr="00A82227" w:rsidRDefault="005407C3" w:rsidP="005407C3">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shd w:val="clear" w:color="auto" w:fill="FFFFFF"/>
        </w:rPr>
        <w:t>El presidente Iván Duque Márquez, comenzó su mandato presidencial el 7 de agosto de 2018, el cual terminará el 7 de agosto de 2022.  Duque, del partido Centro Democrático, ganó las elecciones al lograr el 53,95% de la votación (10.351.304 de votos), mientras su rival Gustavo Petro alcanzó el 41,83% (8.024.697 votos). Los principales pilares de su gobierno son la legalidad, el emprendimiento, y la equidad, con ejes transversales en materia de: infraestructura, sostenibilidad ambiental e innovación.</w:t>
      </w:r>
    </w:p>
    <w:p w:rsidR="005407C3" w:rsidRPr="00A82227" w:rsidRDefault="005407C3">
      <w:pPr>
        <w:rPr>
          <w:rFonts w:ascii="Times New Roman" w:hAnsi="Times New Roman" w:cs="Times New Roman"/>
          <w:color w:val="000000" w:themeColor="text1"/>
        </w:rPr>
      </w:pPr>
    </w:p>
    <w:p w:rsidR="00ED06B1" w:rsidRPr="00A82227" w:rsidRDefault="00ED06B1" w:rsidP="00ED06B1">
      <w:pPr>
        <w:pStyle w:val="Prrafodelista"/>
        <w:numPr>
          <w:ilvl w:val="0"/>
          <w:numId w:val="3"/>
        </w:numPr>
        <w:rPr>
          <w:rFonts w:ascii="Times New Roman" w:hAnsi="Times New Roman" w:cs="Times New Roman"/>
          <w:color w:val="000000" w:themeColor="text1"/>
        </w:rPr>
      </w:pPr>
      <w:r w:rsidRPr="00A82227">
        <w:rPr>
          <w:rFonts w:ascii="Times New Roman" w:hAnsi="Times New Roman" w:cs="Times New Roman"/>
          <w:color w:val="000000" w:themeColor="text1"/>
        </w:rPr>
        <w:t xml:space="preserve">Impuestos: En Colombia ya se estan cobrando impuestos sibre servicios digitales, “En el artículo 180 del texto final de la Reforma, que ya fue sancionada por el presidente Juan Manuel Santos, se señala que los emisores de tarjetas crédito, débito y prepago deben aplicar el IVA a los servicios electrónicos o digitales que se adquieran mediante empresas prestadoras desde el exterior tales como servicios audiovisuales de música, videos, películas y juegos de cualquier tipo, entre otros, así como la radiodifusión de cualquier tipo de evento; plataformas de distribución digital de aplicaciones móviles; servicios de publicidad online; y suministro de enseñanza o entrenamiento a distancia.” Tiempo,C.(2018).  </w:t>
      </w:r>
    </w:p>
    <w:p w:rsidR="00ED06B1" w:rsidRPr="00A82227" w:rsidRDefault="00ED06B1" w:rsidP="00ED06B1">
      <w:pPr>
        <w:pStyle w:val="Prrafodelista"/>
        <w:numPr>
          <w:ilvl w:val="0"/>
          <w:numId w:val="3"/>
        </w:numPr>
        <w:rPr>
          <w:rFonts w:ascii="Times New Roman" w:hAnsi="Times New Roman" w:cs="Times New Roman"/>
          <w:color w:val="000000" w:themeColor="text1"/>
        </w:rPr>
      </w:pPr>
      <w:r w:rsidRPr="00A82227">
        <w:rPr>
          <w:rFonts w:ascii="Times New Roman" w:hAnsi="Times New Roman" w:cs="Times New Roman"/>
          <w:color w:val="000000" w:themeColor="text1"/>
        </w:rPr>
        <w:t>Leyes laborales: en Colombia se maneja</w:t>
      </w:r>
      <w:r w:rsidR="004B41F5" w:rsidRPr="00A82227">
        <w:rPr>
          <w:rFonts w:ascii="Times New Roman" w:hAnsi="Times New Roman" w:cs="Times New Roman"/>
          <w:color w:val="000000" w:themeColor="text1"/>
        </w:rPr>
        <w:t xml:space="preserve"> una legislacion laboral que proteje los derechos de los trabajadores y les permite tener un entorno mas justo.</w:t>
      </w:r>
    </w:p>
    <w:p w:rsidR="004B41F5" w:rsidRPr="00A82227" w:rsidRDefault="004B41F5" w:rsidP="004B41F5">
      <w:pPr>
        <w:pStyle w:val="NormalWeb"/>
        <w:numPr>
          <w:ilvl w:val="0"/>
          <w:numId w:val="3"/>
        </w:numPr>
        <w:rPr>
          <w:color w:val="000000" w:themeColor="text1"/>
        </w:rPr>
      </w:pPr>
      <w:r w:rsidRPr="00A82227">
        <w:rPr>
          <w:color w:val="000000" w:themeColor="text1"/>
        </w:rPr>
        <w:t>Restricciones comerciales: En las últimas dos décadas, Colombia ha realizado una serie de reformas que han contribuido a la modernización de su economía y aumentando su atractivo para los inversionistas y los comerciantes nacionales e internacionales. Las reformas se han centrado, en particular, en el logro de una mayor estabilidad macroeco- nómica y en optimizar el clima de negocios en general, lo que incluye mejoras en la situación de seguridad en todo el país. Una política comercial y de inversión abierta ha sido una parte importante de la mezcla: Colombia ha firmado numero- sos Tratados de Libre Comercio (TLCs) y tratados bilaterales de inversión (TBI) con sus socios comerciales, reduciendo sus aranceles promedio y eliminando muchas barreras no arancelarias al comercio. El reto hoy es construir sobre estas reformas para impulsar aún más la competitividad y productividad de la economía y su integración en los mercados mundiales de bienes y servicios. Mintic.(2014)</w:t>
      </w:r>
    </w:p>
    <w:p w:rsidR="004B41F5" w:rsidRPr="00A82227" w:rsidRDefault="00526809" w:rsidP="00ED06B1">
      <w:pPr>
        <w:pStyle w:val="Prrafodelista"/>
        <w:numPr>
          <w:ilvl w:val="0"/>
          <w:numId w:val="3"/>
        </w:numPr>
        <w:rPr>
          <w:rFonts w:ascii="Times New Roman" w:hAnsi="Times New Roman" w:cs="Times New Roman"/>
          <w:color w:val="000000" w:themeColor="text1"/>
        </w:rPr>
      </w:pPr>
      <w:r w:rsidRPr="00A82227">
        <w:rPr>
          <w:rFonts w:ascii="Times New Roman" w:hAnsi="Times New Roman" w:cs="Times New Roman"/>
          <w:color w:val="000000" w:themeColor="text1"/>
        </w:rPr>
        <w:t>Estabilidad Politica: Se ha podido identificar tras las pasadas elecciones presidenciales que Colombia es un pais que esta dividido entre los habitantes que apoyan las ideas de izquierda y as ideas de derecha, es un pais que presenta un crecimiento economico en algunos sectores, como el de intere para este analisis, que seria el tecnologico. Hace poco se firmo un acuerdo de paz que termino con una guerra interna que suro mas de 50 anos, es un pais que promete mucho desarrollo y esta en una etapa critica para este.</w:t>
      </w:r>
    </w:p>
    <w:p w:rsidR="005407C3" w:rsidRPr="00A82227" w:rsidRDefault="0093570E" w:rsidP="005407C3">
      <w:pPr>
        <w:pStyle w:val="Prrafodelista"/>
        <w:rPr>
          <w:rFonts w:ascii="Times New Roman" w:hAnsi="Times New Roman" w:cs="Times New Roman"/>
          <w:color w:val="000000" w:themeColor="text1"/>
        </w:rPr>
      </w:pPr>
      <w:r w:rsidRPr="00A82227">
        <w:rPr>
          <w:rFonts w:ascii="Times New Roman" w:hAnsi="Times New Roman" w:cs="Times New Roman"/>
          <w:color w:val="000000" w:themeColor="text1"/>
        </w:rPr>
        <w:t xml:space="preserve">Esto inflluye en la solucion ya que </w:t>
      </w:r>
      <w:r w:rsidR="00E15637" w:rsidRPr="00A82227">
        <w:rPr>
          <w:rFonts w:ascii="Times New Roman" w:hAnsi="Times New Roman" w:cs="Times New Roman"/>
          <w:color w:val="000000" w:themeColor="text1"/>
        </w:rPr>
        <w:t>esta</w:t>
      </w:r>
      <w:r w:rsidRPr="00A82227">
        <w:rPr>
          <w:rFonts w:ascii="Times New Roman" w:hAnsi="Times New Roman" w:cs="Times New Roman"/>
          <w:color w:val="000000" w:themeColor="text1"/>
        </w:rPr>
        <w:t xml:space="preserve"> al ser desarrollada en colombia tiene un contacto directo con los elementos mencinados anteriormente</w:t>
      </w:r>
      <w:r w:rsidR="00E15637" w:rsidRPr="00A82227">
        <w:rPr>
          <w:rFonts w:ascii="Times New Roman" w:hAnsi="Times New Roman" w:cs="Times New Roman"/>
          <w:color w:val="000000" w:themeColor="text1"/>
        </w:rPr>
        <w:t xml:space="preserve">, el tema de los </w:t>
      </w:r>
      <w:r w:rsidR="00E15637" w:rsidRPr="00A82227">
        <w:rPr>
          <w:rFonts w:ascii="Times New Roman" w:hAnsi="Times New Roman" w:cs="Times New Roman"/>
          <w:color w:val="000000" w:themeColor="text1"/>
        </w:rPr>
        <w:lastRenderedPageBreak/>
        <w:t>impuestos debe ser revisado con mucho detenimineto puesto que afecta directamente al precio final que se le otorgue a la solucion.</w:t>
      </w:r>
    </w:p>
    <w:p w:rsidR="00526809" w:rsidRPr="00A82227" w:rsidRDefault="00526809" w:rsidP="00526809">
      <w:pPr>
        <w:pStyle w:val="Prrafodelista"/>
        <w:rPr>
          <w:rFonts w:ascii="Times New Roman" w:hAnsi="Times New Roman" w:cs="Times New Roman"/>
          <w:color w:val="000000" w:themeColor="text1"/>
        </w:rPr>
      </w:pPr>
      <w:r w:rsidRPr="00A82227">
        <w:rPr>
          <w:rFonts w:ascii="Times New Roman" w:hAnsi="Times New Roman" w:cs="Times New Roman"/>
          <w:color w:val="000000" w:themeColor="text1"/>
        </w:rPr>
        <w:t>Factores Economicos.</w:t>
      </w:r>
    </w:p>
    <w:p w:rsidR="005407C3" w:rsidRPr="00A82227" w:rsidRDefault="005407C3" w:rsidP="00526809">
      <w:pPr>
        <w:pStyle w:val="Prrafodelista"/>
        <w:rPr>
          <w:rFonts w:ascii="Times New Roman" w:hAnsi="Times New Roman" w:cs="Times New Roman"/>
          <w:color w:val="000000" w:themeColor="text1"/>
        </w:rPr>
      </w:pPr>
    </w:p>
    <w:p w:rsidR="005407C3" w:rsidRPr="00A82227" w:rsidRDefault="005407C3" w:rsidP="005407C3">
      <w:pPr>
        <w:rPr>
          <w:rFonts w:ascii="Times New Roman" w:eastAsia="Times New Roman" w:hAnsi="Times New Roman" w:cs="Times New Roman"/>
          <w:color w:val="000000" w:themeColor="text1"/>
          <w:shd w:val="clear" w:color="auto" w:fill="FFFFFF"/>
        </w:rPr>
      </w:pPr>
      <w:r w:rsidRPr="00A82227">
        <w:rPr>
          <w:rFonts w:ascii="Times New Roman" w:eastAsia="Times New Roman" w:hAnsi="Times New Roman" w:cs="Times New Roman"/>
          <w:color w:val="000000" w:themeColor="text1"/>
          <w:shd w:val="clear" w:color="auto" w:fill="FFFFFF"/>
        </w:rPr>
        <w:t>El gobierno de Colombia ha demostrado a través del tiempo su compromiso con la disciplina fiscal, cumpliendo con la regla fiscal instituida en 2012, que ayudó a mantener su calificación crediticia de grado de inversión desde 2013. En el futuro, las perspectivas económicas dependerán de la capacidad del país para abordar los cuellos de botella estructurales existentes, sostener las reformas fiscales y diversificar su economía para respaldar un mayor crecimiento de la productividad.</w:t>
      </w:r>
    </w:p>
    <w:p w:rsidR="006465D9" w:rsidRPr="00A82227" w:rsidRDefault="006465D9" w:rsidP="006465D9">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shd w:val="clear" w:color="auto" w:fill="FFFFFF"/>
        </w:rPr>
        <w:t>Colombia ha resistido bastante bien el fuerte choque en los términos de intercambio ocurrido en el período 2014-2016. El crecimiento económico se desaceleró gradualmente hasta un 1.8% en 2017, respaldado por políticas macroeconómicas prudentes y las reformas estructurales emprendidas en los últimos años. En los años más recientes, el país experimentó un importante ajuste en el déficit fiscal no petrolero, en respuesta a la disminución de los ingresos fiscales petroleros cercana a 3.3% del PIB.</w:t>
      </w:r>
    </w:p>
    <w:p w:rsidR="006465D9" w:rsidRPr="00A82227" w:rsidRDefault="006465D9" w:rsidP="005407C3">
      <w:pPr>
        <w:rPr>
          <w:rFonts w:ascii="Times New Roman" w:eastAsia="Times New Roman" w:hAnsi="Times New Roman" w:cs="Times New Roman"/>
          <w:color w:val="000000" w:themeColor="text1"/>
        </w:rPr>
      </w:pPr>
    </w:p>
    <w:p w:rsidR="005407C3" w:rsidRPr="00A82227" w:rsidRDefault="005407C3" w:rsidP="005407C3">
      <w:pPr>
        <w:rPr>
          <w:rFonts w:ascii="Times New Roman" w:hAnsi="Times New Roman" w:cs="Times New Roman"/>
          <w:color w:val="000000" w:themeColor="text1"/>
        </w:rPr>
      </w:pPr>
    </w:p>
    <w:p w:rsidR="00526809" w:rsidRPr="00A82227" w:rsidRDefault="00526809" w:rsidP="00526809">
      <w:pPr>
        <w:pStyle w:val="Prrafodelista"/>
        <w:numPr>
          <w:ilvl w:val="0"/>
          <w:numId w:val="3"/>
        </w:numPr>
        <w:rPr>
          <w:rFonts w:ascii="Times New Roman" w:hAnsi="Times New Roman" w:cs="Times New Roman"/>
          <w:color w:val="000000" w:themeColor="text1"/>
        </w:rPr>
      </w:pPr>
      <w:r w:rsidRPr="00A82227">
        <w:rPr>
          <w:rFonts w:ascii="Times New Roman" w:hAnsi="Times New Roman" w:cs="Times New Roman"/>
          <w:color w:val="000000" w:themeColor="text1"/>
        </w:rPr>
        <w:t>Tasas de interes:</w:t>
      </w:r>
    </w:p>
    <w:p w:rsidR="00526809" w:rsidRPr="00A82227" w:rsidRDefault="00526809" w:rsidP="00526809">
      <w:pPr>
        <w:pStyle w:val="Prrafodelista"/>
        <w:rPr>
          <w:rFonts w:ascii="Times New Roman" w:hAnsi="Times New Roman" w:cs="Times New Roman"/>
          <w:color w:val="000000" w:themeColor="text1"/>
        </w:rPr>
      </w:pPr>
      <w:r w:rsidRPr="00A82227">
        <w:rPr>
          <w:rFonts w:ascii="Times New Roman" w:hAnsi="Times New Roman" w:cs="Times New Roman"/>
          <w:color w:val="000000" w:themeColor="text1"/>
        </w:rPr>
        <w:t>Bancolombia.</w:t>
      </w:r>
    </w:p>
    <w:tbl>
      <w:tblPr>
        <w:tblW w:w="7500"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140"/>
        <w:gridCol w:w="3180"/>
        <w:gridCol w:w="3180"/>
      </w:tblGrid>
      <w:tr w:rsidR="00A82227" w:rsidRPr="00A82227" w:rsidTr="00526809">
        <w:trPr>
          <w:tblHeader/>
          <w:jc w:val="center"/>
        </w:trPr>
        <w:tc>
          <w:tcPr>
            <w:tcW w:w="0" w:type="auto"/>
            <w:gridSpan w:val="3"/>
            <w:shd w:val="clear" w:color="auto" w:fill="104E8B"/>
            <w:tcMar>
              <w:top w:w="15" w:type="dxa"/>
              <w:left w:w="15" w:type="dxa"/>
              <w:bottom w:w="48" w:type="dxa"/>
              <w:right w:w="144" w:type="dxa"/>
            </w:tcMar>
            <w:vAlign w:val="center"/>
            <w:hideMark/>
          </w:tcPr>
          <w:p w:rsidR="00526809" w:rsidRPr="00A82227" w:rsidRDefault="00526809" w:rsidP="00526809">
            <w:pPr>
              <w:rPr>
                <w:rFonts w:ascii="Times New Roman" w:eastAsia="Times New Roman" w:hAnsi="Times New Roman" w:cs="Times New Roman"/>
                <w:b/>
                <w:bCs/>
                <w:color w:val="000000" w:themeColor="text1"/>
              </w:rPr>
            </w:pPr>
            <w:r w:rsidRPr="00A82227">
              <w:rPr>
                <w:rFonts w:ascii="Times New Roman" w:eastAsia="Times New Roman" w:hAnsi="Times New Roman" w:cs="Times New Roman"/>
                <w:b/>
                <w:bCs/>
                <w:color w:val="000000" w:themeColor="text1"/>
              </w:rPr>
              <w:t>Tasas Crédito de Libre Inversión Bancolombia</w:t>
            </w:r>
          </w:p>
        </w:tc>
      </w:tr>
      <w:tr w:rsidR="00A82227" w:rsidRPr="00A82227" w:rsidTr="00526809">
        <w:trPr>
          <w:jc w:val="center"/>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 </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Desde</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Hasta</w:t>
            </w:r>
          </w:p>
        </w:tc>
      </w:tr>
      <w:tr w:rsidR="00A82227" w:rsidRPr="00A82227" w:rsidTr="00526809">
        <w:trPr>
          <w:jc w:val="center"/>
        </w:trPr>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Variable</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DTF (TA*) + Puntos (TA*)</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DTF (TA*) + Puntos (TA*)</w:t>
            </w:r>
          </w:p>
        </w:tc>
      </w:tr>
      <w:tr w:rsidR="00A82227" w:rsidRPr="00A82227" w:rsidTr="00526809">
        <w:trPr>
          <w:jc w:val="center"/>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10,62% Efectiva Anual</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31,04% Efectiva Anual</w:t>
            </w:r>
          </w:p>
        </w:tc>
      </w:tr>
      <w:tr w:rsidR="00A82227" w:rsidRPr="00A82227" w:rsidTr="00526809">
        <w:trPr>
          <w:jc w:val="center"/>
        </w:trPr>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Fija</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0,83% Mes vencida</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2,28% Mes vencida</w:t>
            </w:r>
          </w:p>
        </w:tc>
      </w:tr>
      <w:tr w:rsidR="00A82227" w:rsidRPr="00A82227" w:rsidTr="00526809">
        <w:trPr>
          <w:jc w:val="center"/>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10,49% Efectiva Anual</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31,04% Efectiva Anual</w:t>
            </w:r>
          </w:p>
        </w:tc>
      </w:tr>
    </w:tbl>
    <w:p w:rsidR="00526809" w:rsidRPr="00A82227" w:rsidRDefault="00526809" w:rsidP="00526809">
      <w:pPr>
        <w:rPr>
          <w:rFonts w:ascii="Times New Roman" w:eastAsia="Times New Roman" w:hAnsi="Times New Roman" w:cs="Times New Roman"/>
          <w:color w:val="000000" w:themeColor="text1"/>
        </w:rPr>
      </w:pPr>
    </w:p>
    <w:p w:rsidR="00526809" w:rsidRPr="00A82227" w:rsidRDefault="00526809" w:rsidP="00526809">
      <w:pPr>
        <w:pStyle w:val="Prrafodelista"/>
        <w:rPr>
          <w:rFonts w:ascii="Times New Roman" w:hAnsi="Times New Roman" w:cs="Times New Roman"/>
          <w:color w:val="000000" w:themeColor="text1"/>
        </w:rPr>
      </w:pPr>
      <w:r w:rsidRPr="00A82227">
        <w:rPr>
          <w:rFonts w:ascii="Times New Roman" w:hAnsi="Times New Roman" w:cs="Times New Roman"/>
          <w:color w:val="000000" w:themeColor="text1"/>
        </w:rPr>
        <w:t>BBVA</w:t>
      </w:r>
    </w:p>
    <w:tbl>
      <w:tblPr>
        <w:tblW w:w="7500"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07"/>
        <w:gridCol w:w="979"/>
        <w:gridCol w:w="879"/>
        <w:gridCol w:w="979"/>
        <w:gridCol w:w="879"/>
        <w:gridCol w:w="1010"/>
        <w:gridCol w:w="1867"/>
      </w:tblGrid>
      <w:tr w:rsidR="00A82227" w:rsidRPr="00A82227" w:rsidTr="00526809">
        <w:trPr>
          <w:tblHeader/>
          <w:jc w:val="center"/>
        </w:trPr>
        <w:tc>
          <w:tcPr>
            <w:tcW w:w="0" w:type="auto"/>
            <w:gridSpan w:val="7"/>
            <w:shd w:val="clear" w:color="auto" w:fill="104E8B"/>
            <w:tcMar>
              <w:top w:w="15" w:type="dxa"/>
              <w:left w:w="15" w:type="dxa"/>
              <w:bottom w:w="48" w:type="dxa"/>
              <w:right w:w="144" w:type="dxa"/>
            </w:tcMar>
            <w:vAlign w:val="center"/>
            <w:hideMark/>
          </w:tcPr>
          <w:p w:rsidR="00526809" w:rsidRPr="00A82227" w:rsidRDefault="00526809" w:rsidP="00526809">
            <w:pPr>
              <w:rPr>
                <w:rFonts w:ascii="Times New Roman" w:eastAsia="Times New Roman" w:hAnsi="Times New Roman" w:cs="Times New Roman"/>
                <w:b/>
                <w:bCs/>
                <w:color w:val="000000" w:themeColor="text1"/>
              </w:rPr>
            </w:pPr>
            <w:r w:rsidRPr="00A82227">
              <w:rPr>
                <w:rFonts w:ascii="Times New Roman" w:eastAsia="Times New Roman" w:hAnsi="Times New Roman" w:cs="Times New Roman"/>
                <w:b/>
                <w:bCs/>
                <w:color w:val="000000" w:themeColor="text1"/>
              </w:rPr>
              <w:t>Tasas Crédito de Libre Inversión Banco BBVA</w:t>
            </w:r>
          </w:p>
        </w:tc>
      </w:tr>
      <w:tr w:rsidR="00A82227" w:rsidRPr="00A82227" w:rsidTr="00526809">
        <w:trPr>
          <w:jc w:val="center"/>
        </w:trPr>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Plazo</w:t>
            </w:r>
          </w:p>
        </w:tc>
        <w:tc>
          <w:tcPr>
            <w:tcW w:w="0" w:type="auto"/>
            <w:gridSpan w:val="2"/>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Sin Portafolio</w:t>
            </w:r>
          </w:p>
        </w:tc>
        <w:tc>
          <w:tcPr>
            <w:tcW w:w="0" w:type="auto"/>
            <w:gridSpan w:val="2"/>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Con Portafolio</w:t>
            </w:r>
          </w:p>
        </w:tc>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Cuotas al Año</w:t>
            </w:r>
          </w:p>
        </w:tc>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Portafolio</w:t>
            </w:r>
          </w:p>
        </w:tc>
      </w:tr>
      <w:tr w:rsidR="00A82227" w:rsidRPr="00A82227" w:rsidTr="00526809">
        <w:trPr>
          <w:jc w:val="center"/>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Tasa E.A.</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Tasa M.V.</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Tasa E.A.</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Tasa M.V.</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r>
      <w:tr w:rsidR="00A82227" w:rsidRPr="00A82227" w:rsidTr="00526809">
        <w:trPr>
          <w:jc w:val="center"/>
        </w:trPr>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12 a 60 Meses</w:t>
            </w:r>
          </w:p>
        </w:tc>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27,40%</w:t>
            </w:r>
          </w:p>
        </w:tc>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2,04%</w:t>
            </w:r>
          </w:p>
        </w:tc>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26,40%</w:t>
            </w:r>
          </w:p>
        </w:tc>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1,97%</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12 cuotas</w:t>
            </w:r>
          </w:p>
        </w:tc>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 de 4 TdC, Cupo Rotativo, Cuenta Corriente Seguro Vital o Vital Plus</w:t>
            </w:r>
          </w:p>
        </w:tc>
      </w:tr>
      <w:tr w:rsidR="00A82227" w:rsidRPr="00A82227" w:rsidTr="00526809">
        <w:trPr>
          <w:jc w:val="center"/>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14 cuotas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r>
    </w:tbl>
    <w:p w:rsidR="00526809" w:rsidRPr="00A82227" w:rsidRDefault="00526809" w:rsidP="00526809">
      <w:pPr>
        <w:rPr>
          <w:rFonts w:ascii="Times New Roman" w:eastAsia="Times New Roman" w:hAnsi="Times New Roman" w:cs="Times New Roman"/>
          <w:color w:val="000000" w:themeColor="text1"/>
        </w:rPr>
      </w:pPr>
    </w:p>
    <w:p w:rsidR="00526809" w:rsidRPr="00A82227" w:rsidRDefault="00526809" w:rsidP="00526809">
      <w:pPr>
        <w:pStyle w:val="Prrafodelista"/>
        <w:rPr>
          <w:rFonts w:ascii="Times New Roman" w:hAnsi="Times New Roman" w:cs="Times New Roman"/>
          <w:color w:val="000000" w:themeColor="text1"/>
        </w:rPr>
      </w:pPr>
      <w:r w:rsidRPr="00A82227">
        <w:rPr>
          <w:rFonts w:ascii="Times New Roman" w:hAnsi="Times New Roman" w:cs="Times New Roman"/>
          <w:color w:val="000000" w:themeColor="text1"/>
        </w:rPr>
        <w:t>Davivienda</w:t>
      </w:r>
    </w:p>
    <w:tbl>
      <w:tblPr>
        <w:tblW w:w="7500"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10"/>
        <w:gridCol w:w="3011"/>
        <w:gridCol w:w="1499"/>
        <w:gridCol w:w="830"/>
        <w:gridCol w:w="950"/>
      </w:tblGrid>
      <w:tr w:rsidR="00A82227" w:rsidRPr="00A82227" w:rsidTr="00526809">
        <w:trPr>
          <w:tblHeader/>
          <w:jc w:val="center"/>
        </w:trPr>
        <w:tc>
          <w:tcPr>
            <w:tcW w:w="0" w:type="auto"/>
            <w:gridSpan w:val="5"/>
            <w:shd w:val="clear" w:color="auto" w:fill="104E8B"/>
            <w:tcMar>
              <w:top w:w="15" w:type="dxa"/>
              <w:left w:w="15" w:type="dxa"/>
              <w:bottom w:w="48" w:type="dxa"/>
              <w:right w:w="144" w:type="dxa"/>
            </w:tcMar>
            <w:vAlign w:val="center"/>
            <w:hideMark/>
          </w:tcPr>
          <w:p w:rsidR="00526809" w:rsidRPr="00A82227" w:rsidRDefault="00526809" w:rsidP="00526809">
            <w:pPr>
              <w:rPr>
                <w:rFonts w:ascii="Times New Roman" w:eastAsia="Times New Roman" w:hAnsi="Times New Roman" w:cs="Times New Roman"/>
                <w:b/>
                <w:bCs/>
                <w:color w:val="000000" w:themeColor="text1"/>
              </w:rPr>
            </w:pPr>
            <w:r w:rsidRPr="00A82227">
              <w:rPr>
                <w:rFonts w:ascii="Times New Roman" w:eastAsia="Times New Roman" w:hAnsi="Times New Roman" w:cs="Times New Roman"/>
                <w:b/>
                <w:bCs/>
                <w:color w:val="000000" w:themeColor="text1"/>
              </w:rPr>
              <w:lastRenderedPageBreak/>
              <w:t>Tasas Crédito de Libre Inversión Banco Davivienda</w:t>
            </w:r>
          </w:p>
        </w:tc>
      </w:tr>
      <w:tr w:rsidR="00A82227" w:rsidRPr="00A82227" w:rsidTr="00526809">
        <w:trPr>
          <w:jc w:val="center"/>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Tipo</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Monto</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Plazo</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E.A.</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M.V.</w:t>
            </w:r>
          </w:p>
        </w:tc>
      </w:tr>
      <w:tr w:rsidR="00A82227" w:rsidRPr="00A82227" w:rsidTr="00526809">
        <w:trPr>
          <w:jc w:val="center"/>
        </w:trPr>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Corriente</w:t>
            </w:r>
          </w:p>
        </w:tc>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Hasta $20.000.000</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Hasta 36 meses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2,22%</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30,14%</w:t>
            </w:r>
          </w:p>
        </w:tc>
      </w:tr>
      <w:tr w:rsidR="00A82227" w:rsidRPr="00A82227" w:rsidTr="00526809">
        <w:trPr>
          <w:jc w:val="center"/>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De 37 a 60 meses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2,24%</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30,45%</w:t>
            </w:r>
          </w:p>
        </w:tc>
      </w:tr>
      <w:tr w:rsidR="00A82227" w:rsidRPr="00A82227" w:rsidTr="00526809">
        <w:trPr>
          <w:jc w:val="center"/>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Desde $20.000.001 hasta $40 millones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Hasta 36 meses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2,20%</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29,84%</w:t>
            </w:r>
          </w:p>
        </w:tc>
      </w:tr>
      <w:tr w:rsidR="00A82227" w:rsidRPr="00A82227" w:rsidTr="00526809">
        <w:trPr>
          <w:jc w:val="center"/>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De 37 a 60 meses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2,22%</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30,14%</w:t>
            </w:r>
          </w:p>
        </w:tc>
      </w:tr>
      <w:tr w:rsidR="00A82227" w:rsidRPr="00A82227" w:rsidTr="00526809">
        <w:trPr>
          <w:jc w:val="center"/>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vMerge w:val="restart"/>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Desde $40.000.001</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Hasta 36 meses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2,18%</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29,53%</w:t>
            </w:r>
          </w:p>
        </w:tc>
      </w:tr>
      <w:tr w:rsidR="00A82227" w:rsidRPr="00A82227" w:rsidTr="00526809">
        <w:trPr>
          <w:jc w:val="center"/>
        </w:trPr>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526809" w:rsidRPr="00A82227" w:rsidRDefault="00526809" w:rsidP="00526809">
            <w:pPr>
              <w:rPr>
                <w:rFonts w:ascii="Times New Roman" w:eastAsia="Times New Roman" w:hAnsi="Times New Roman" w:cs="Times New Roman"/>
                <w:color w:val="000000" w:themeColor="text1"/>
              </w:rPr>
            </w:pP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De 37 a 60 meses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2,20%</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29,84%</w:t>
            </w:r>
          </w:p>
        </w:tc>
      </w:tr>
      <w:tr w:rsidR="00A82227" w:rsidRPr="00A82227" w:rsidTr="00526809">
        <w:trPr>
          <w:jc w:val="center"/>
        </w:trPr>
        <w:tc>
          <w:tcPr>
            <w:tcW w:w="0" w:type="auto"/>
            <w:gridSpan w:val="3"/>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b/>
                <w:bCs/>
                <w:color w:val="000000" w:themeColor="text1"/>
                <w:bdr w:val="none" w:sz="0" w:space="0" w:color="auto" w:frame="1"/>
              </w:rPr>
              <w:t>Interés de Mora</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2,27%</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30,91%</w:t>
            </w:r>
          </w:p>
        </w:tc>
      </w:tr>
    </w:tbl>
    <w:p w:rsidR="00526809" w:rsidRPr="00A82227" w:rsidRDefault="00526809" w:rsidP="00526809">
      <w:pPr>
        <w:rPr>
          <w:rFonts w:ascii="Times New Roman" w:eastAsia="Times New Roman" w:hAnsi="Times New Roman" w:cs="Times New Roman"/>
          <w:color w:val="000000" w:themeColor="text1"/>
        </w:rPr>
      </w:pPr>
    </w:p>
    <w:p w:rsidR="00526809" w:rsidRPr="00A82227" w:rsidRDefault="00526809" w:rsidP="00526809">
      <w:pPr>
        <w:pStyle w:val="Prrafodelista"/>
        <w:rPr>
          <w:rFonts w:ascii="Times New Roman" w:hAnsi="Times New Roman" w:cs="Times New Roman"/>
          <w:color w:val="000000" w:themeColor="text1"/>
        </w:rPr>
      </w:pPr>
      <w:r w:rsidRPr="00A82227">
        <w:rPr>
          <w:rFonts w:ascii="Times New Roman" w:hAnsi="Times New Roman" w:cs="Times New Roman"/>
          <w:color w:val="000000" w:themeColor="text1"/>
        </w:rPr>
        <w:t>AV villas</w:t>
      </w:r>
    </w:p>
    <w:tbl>
      <w:tblPr>
        <w:tblW w:w="0" w:type="auto"/>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312"/>
        <w:gridCol w:w="1730"/>
        <w:gridCol w:w="950"/>
        <w:gridCol w:w="830"/>
      </w:tblGrid>
      <w:tr w:rsidR="00A82227" w:rsidRPr="00A82227" w:rsidTr="00526809">
        <w:trPr>
          <w:tblHeader/>
          <w:jc w:val="center"/>
        </w:trPr>
        <w:tc>
          <w:tcPr>
            <w:tcW w:w="0" w:type="auto"/>
            <w:shd w:val="clear" w:color="auto" w:fill="104E8B"/>
            <w:tcMar>
              <w:top w:w="15" w:type="dxa"/>
              <w:left w:w="15" w:type="dxa"/>
              <w:bottom w:w="48" w:type="dxa"/>
              <w:right w:w="144" w:type="dxa"/>
            </w:tcMar>
            <w:vAlign w:val="center"/>
            <w:hideMark/>
          </w:tcPr>
          <w:p w:rsidR="00526809" w:rsidRPr="00A82227" w:rsidRDefault="00526809" w:rsidP="00526809">
            <w:pPr>
              <w:rPr>
                <w:rFonts w:ascii="Times New Roman" w:eastAsia="Times New Roman" w:hAnsi="Times New Roman" w:cs="Times New Roman"/>
                <w:b/>
                <w:bCs/>
                <w:color w:val="000000" w:themeColor="text1"/>
              </w:rPr>
            </w:pPr>
            <w:r w:rsidRPr="00A82227">
              <w:rPr>
                <w:rFonts w:ascii="Times New Roman" w:eastAsia="Times New Roman" w:hAnsi="Times New Roman" w:cs="Times New Roman"/>
                <w:b/>
                <w:bCs/>
                <w:color w:val="000000" w:themeColor="text1"/>
              </w:rPr>
              <w:t>Tasas Crédito de Libre Inversión Banco AV Villas</w:t>
            </w:r>
          </w:p>
        </w:tc>
        <w:tc>
          <w:tcPr>
            <w:tcW w:w="0" w:type="auto"/>
            <w:shd w:val="clear" w:color="auto" w:fill="104E8B"/>
            <w:tcMar>
              <w:top w:w="15" w:type="dxa"/>
              <w:left w:w="15" w:type="dxa"/>
              <w:bottom w:w="48" w:type="dxa"/>
              <w:right w:w="144" w:type="dxa"/>
            </w:tcMar>
            <w:vAlign w:val="center"/>
            <w:hideMark/>
          </w:tcPr>
          <w:p w:rsidR="00526809" w:rsidRPr="00A82227" w:rsidRDefault="00526809" w:rsidP="00526809">
            <w:pPr>
              <w:rPr>
                <w:rFonts w:ascii="Times New Roman" w:eastAsia="Times New Roman" w:hAnsi="Times New Roman" w:cs="Times New Roman"/>
                <w:b/>
                <w:bCs/>
                <w:color w:val="000000" w:themeColor="text1"/>
              </w:rPr>
            </w:pPr>
            <w:r w:rsidRPr="00A82227">
              <w:rPr>
                <w:rFonts w:ascii="Times New Roman" w:eastAsia="Times New Roman" w:hAnsi="Times New Roman" w:cs="Times New Roman"/>
                <w:b/>
                <w:bCs/>
                <w:color w:val="000000" w:themeColor="text1"/>
              </w:rPr>
              <w:t>Plazo</w:t>
            </w:r>
          </w:p>
        </w:tc>
        <w:tc>
          <w:tcPr>
            <w:tcW w:w="0" w:type="auto"/>
            <w:shd w:val="clear" w:color="auto" w:fill="104E8B"/>
            <w:tcMar>
              <w:top w:w="15" w:type="dxa"/>
              <w:left w:w="15" w:type="dxa"/>
              <w:bottom w:w="48" w:type="dxa"/>
              <w:right w:w="144" w:type="dxa"/>
            </w:tcMar>
            <w:vAlign w:val="center"/>
            <w:hideMark/>
          </w:tcPr>
          <w:p w:rsidR="00526809" w:rsidRPr="00A82227" w:rsidRDefault="00526809" w:rsidP="00526809">
            <w:pPr>
              <w:rPr>
                <w:rFonts w:ascii="Times New Roman" w:eastAsia="Times New Roman" w:hAnsi="Times New Roman" w:cs="Times New Roman"/>
                <w:b/>
                <w:bCs/>
                <w:color w:val="000000" w:themeColor="text1"/>
              </w:rPr>
            </w:pPr>
            <w:r w:rsidRPr="00A82227">
              <w:rPr>
                <w:rFonts w:ascii="Times New Roman" w:eastAsia="Times New Roman" w:hAnsi="Times New Roman" w:cs="Times New Roman"/>
                <w:b/>
                <w:bCs/>
                <w:color w:val="000000" w:themeColor="text1"/>
              </w:rPr>
              <w:t>E.A.</w:t>
            </w:r>
          </w:p>
        </w:tc>
        <w:tc>
          <w:tcPr>
            <w:tcW w:w="0" w:type="auto"/>
            <w:shd w:val="clear" w:color="auto" w:fill="104E8B"/>
            <w:tcMar>
              <w:top w:w="15" w:type="dxa"/>
              <w:left w:w="15" w:type="dxa"/>
              <w:bottom w:w="48" w:type="dxa"/>
              <w:right w:w="144" w:type="dxa"/>
            </w:tcMar>
            <w:vAlign w:val="center"/>
            <w:hideMark/>
          </w:tcPr>
          <w:p w:rsidR="00526809" w:rsidRPr="00A82227" w:rsidRDefault="00526809" w:rsidP="00526809">
            <w:pPr>
              <w:rPr>
                <w:rFonts w:ascii="Times New Roman" w:eastAsia="Times New Roman" w:hAnsi="Times New Roman" w:cs="Times New Roman"/>
                <w:b/>
                <w:bCs/>
                <w:color w:val="000000" w:themeColor="text1"/>
              </w:rPr>
            </w:pPr>
            <w:r w:rsidRPr="00A82227">
              <w:rPr>
                <w:rFonts w:ascii="Times New Roman" w:eastAsia="Times New Roman" w:hAnsi="Times New Roman" w:cs="Times New Roman"/>
                <w:b/>
                <w:bCs/>
                <w:color w:val="000000" w:themeColor="text1"/>
              </w:rPr>
              <w:t>M.V.</w:t>
            </w:r>
          </w:p>
        </w:tc>
      </w:tr>
      <w:tr w:rsidR="00A82227" w:rsidRPr="00A82227" w:rsidTr="00526809">
        <w:trPr>
          <w:jc w:val="center"/>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Para montos entre $1.500.000 y $30.000.000</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de 6 a 60 meses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31,04%</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2,28%</w:t>
            </w:r>
          </w:p>
        </w:tc>
      </w:tr>
      <w:tr w:rsidR="00A82227" w:rsidRPr="00A82227" w:rsidTr="00526809">
        <w:trPr>
          <w:jc w:val="center"/>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Para montos superiores a $30.000.000</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de 6 a 60 meses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31,04%</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2,28%</w:t>
            </w:r>
          </w:p>
        </w:tc>
      </w:tr>
      <w:tr w:rsidR="00A82227" w:rsidRPr="00A82227" w:rsidTr="00526809">
        <w:trPr>
          <w:jc w:val="center"/>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Segmento preferente tasas desde:*</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de 6 a 60 meses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18,83%</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1,50%</w:t>
            </w:r>
          </w:p>
        </w:tc>
      </w:tr>
      <w:tr w:rsidR="00A82227" w:rsidRPr="00A82227" w:rsidTr="00526809">
        <w:trPr>
          <w:jc w:val="center"/>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Segmento preferente tasas hasta:*</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de 6 a 60 meses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31,04%</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2,28%</w:t>
            </w:r>
          </w:p>
        </w:tc>
      </w:tr>
      <w:tr w:rsidR="00A82227" w:rsidRPr="00A82227" w:rsidTr="00526809">
        <w:trPr>
          <w:jc w:val="center"/>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Tasa de interés de mora</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 </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31,04%</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526809" w:rsidRPr="00A82227" w:rsidRDefault="00526809" w:rsidP="00526809">
            <w:pPr>
              <w:spacing w:before="45" w:after="45"/>
              <w:ind w:left="45" w:right="45"/>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2,28%</w:t>
            </w:r>
          </w:p>
        </w:tc>
      </w:tr>
    </w:tbl>
    <w:p w:rsidR="00526809" w:rsidRPr="00A82227" w:rsidRDefault="00526809" w:rsidP="00526809">
      <w:pPr>
        <w:rPr>
          <w:rFonts w:ascii="Times New Roman" w:eastAsia="Times New Roman" w:hAnsi="Times New Roman" w:cs="Times New Roman"/>
          <w:color w:val="000000" w:themeColor="text1"/>
        </w:rPr>
      </w:pPr>
    </w:p>
    <w:p w:rsidR="00526809" w:rsidRPr="00A82227" w:rsidRDefault="00526809" w:rsidP="00526809">
      <w:pPr>
        <w:pStyle w:val="Prrafodelista"/>
        <w:rPr>
          <w:rFonts w:ascii="Times New Roman" w:hAnsi="Times New Roman" w:cs="Times New Roman"/>
          <w:color w:val="000000" w:themeColor="text1"/>
        </w:rPr>
      </w:pPr>
    </w:p>
    <w:p w:rsidR="00526809" w:rsidRPr="00A82227" w:rsidRDefault="00526809" w:rsidP="00526809">
      <w:pPr>
        <w:pStyle w:val="Prrafodelista"/>
        <w:numPr>
          <w:ilvl w:val="0"/>
          <w:numId w:val="3"/>
        </w:numPr>
        <w:rPr>
          <w:rFonts w:ascii="Times New Roman" w:hAnsi="Times New Roman" w:cs="Times New Roman"/>
          <w:color w:val="000000" w:themeColor="text1"/>
        </w:rPr>
      </w:pPr>
      <w:r w:rsidRPr="00A82227">
        <w:rPr>
          <w:rFonts w:ascii="Times New Roman" w:hAnsi="Times New Roman" w:cs="Times New Roman"/>
          <w:color w:val="000000" w:themeColor="text1"/>
        </w:rPr>
        <w:t>Crecimineto en el Area de las tic: El crecimiento en las exportaciones del sector TIC, que en los últimos cinco años alcanzó los US$528 millones y benefició a 2.800 pequeñas empresas, se logró, entre otros motivos, por la puesta en marcha de ferias internacionales especializadas en compartir soluciones tecnológicas específicas para las distintas industrias, y por la asesoría y el acompañamiento de entidades como Innpulsa, el Mintic y ProColombia.</w:t>
      </w:r>
    </w:p>
    <w:p w:rsidR="00526809" w:rsidRPr="00A82227" w:rsidRDefault="00526809" w:rsidP="00526809">
      <w:pPr>
        <w:pStyle w:val="Prrafodelista"/>
        <w:numPr>
          <w:ilvl w:val="0"/>
          <w:numId w:val="3"/>
        </w:numPr>
        <w:rPr>
          <w:rFonts w:ascii="Times New Roman" w:hAnsi="Times New Roman" w:cs="Times New Roman"/>
          <w:color w:val="000000" w:themeColor="text1"/>
        </w:rPr>
      </w:pPr>
      <w:r w:rsidRPr="00A82227">
        <w:rPr>
          <w:rFonts w:ascii="Times New Roman" w:hAnsi="Times New Roman" w:cs="Times New Roman"/>
          <w:color w:val="000000" w:themeColor="text1"/>
        </w:rPr>
        <w:t>Tasas de iflacion:</w:t>
      </w:r>
    </w:p>
    <w:tbl>
      <w:tblPr>
        <w:tblW w:w="225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38"/>
        <w:gridCol w:w="1412"/>
      </w:tblGrid>
      <w:tr w:rsidR="00A82227" w:rsidRPr="00A82227" w:rsidTr="00526809">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526809" w:rsidRPr="00A82227" w:rsidRDefault="00526809" w:rsidP="00526809">
            <w:pPr>
              <w:spacing w:before="240" w:after="240"/>
              <w:jc w:val="center"/>
              <w:rPr>
                <w:rFonts w:ascii="Times New Roman" w:eastAsia="Times New Roman" w:hAnsi="Times New Roman" w:cs="Times New Roman"/>
                <w:b/>
                <w:bCs/>
                <w:color w:val="000000" w:themeColor="text1"/>
              </w:rPr>
            </w:pPr>
            <w:r w:rsidRPr="00A82227">
              <w:rPr>
                <w:rFonts w:ascii="Times New Roman" w:eastAsia="Times New Roman" w:hAnsi="Times New Roman" w:cs="Times New Roman"/>
                <w:b/>
                <w:bCs/>
                <w:color w:val="000000" w:themeColor="text1"/>
              </w:rPr>
              <w:lastRenderedPageBreak/>
              <w:t>Año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526809" w:rsidRPr="00A82227" w:rsidRDefault="00526809" w:rsidP="00526809">
            <w:pPr>
              <w:spacing w:before="240" w:after="240"/>
              <w:jc w:val="center"/>
              <w:rPr>
                <w:rFonts w:ascii="Times New Roman" w:eastAsia="Times New Roman" w:hAnsi="Times New Roman" w:cs="Times New Roman"/>
                <w:b/>
                <w:bCs/>
                <w:color w:val="000000" w:themeColor="text1"/>
              </w:rPr>
            </w:pPr>
            <w:r w:rsidRPr="00A82227">
              <w:rPr>
                <w:rFonts w:ascii="Times New Roman" w:eastAsia="Times New Roman" w:hAnsi="Times New Roman" w:cs="Times New Roman"/>
                <w:b/>
                <w:bCs/>
                <w:color w:val="000000" w:themeColor="text1"/>
              </w:rPr>
              <w:t>Inflación anual</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9,3</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18,3</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16</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6,7</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20,5</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8,9</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-2,3</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7,3</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8,8</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1,72</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8,47</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18,75</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9,21</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lastRenderedPageBreak/>
              <w:t>1959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7,23</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6,74</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6,32</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6,93</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32,41</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8,39</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14,84</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12,92</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7,46</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6,48</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8,26</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6,83</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13,91</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lastRenderedPageBreak/>
              <w:t>1972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13,86</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23,48</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26,06</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17,69</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25,79</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28,3</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18,73</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28,82</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25,96</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26,36</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24,04</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16,66</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18,26</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lastRenderedPageBreak/>
              <w:t>1985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22,45</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20,95</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24,03</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28,12</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26,23</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32,37</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26,82</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25,14</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22,61</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22,6</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19,47</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21,64</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17,68</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lastRenderedPageBreak/>
              <w:t>1998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16,7</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9,23</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8,75</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7,65</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6,99</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6,49</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5,5</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4,85</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4,48</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5,69</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7,67</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3,17</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lastRenderedPageBreak/>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3,73</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2,44</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1,94</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3,66</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6,77</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5,75</w:t>
            </w:r>
          </w:p>
        </w:tc>
      </w:tr>
      <w:tr w:rsidR="00A82227" w:rsidRPr="00A82227" w:rsidTr="0052680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26809" w:rsidRPr="00A82227" w:rsidRDefault="00526809" w:rsidP="00526809">
            <w:pPr>
              <w:spacing w:before="240" w:after="240"/>
              <w:jc w:val="cente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4,09</w:t>
            </w:r>
          </w:p>
        </w:tc>
      </w:tr>
    </w:tbl>
    <w:p w:rsidR="00526809" w:rsidRPr="00A82227" w:rsidRDefault="00E15637" w:rsidP="00526809">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Se puede verificar en la informacion anteriro que Colombia, primero que todo tiene unas tasas de interes relativamente altas ya que es un pais con un riesgo de inversion moderado y ademas que su inflacion esta en una tendencia a reducir ocn el tiempo, lo cual  puede ser aprovechado por la solucion ya que puede ser comercializada con mas agilidad</w:t>
      </w:r>
      <w:r w:rsidR="00A82227" w:rsidRPr="00A82227">
        <w:rPr>
          <w:rFonts w:ascii="Times New Roman" w:eastAsia="Times New Roman" w:hAnsi="Times New Roman" w:cs="Times New Roman"/>
          <w:color w:val="000000" w:themeColor="text1"/>
        </w:rPr>
        <w:t xml:space="preserve"> y en un mercado con necesidades tecnologicas</w:t>
      </w:r>
      <w:r w:rsidRPr="00A82227">
        <w:rPr>
          <w:rFonts w:ascii="Times New Roman" w:eastAsia="Times New Roman" w:hAnsi="Times New Roman" w:cs="Times New Roman"/>
          <w:color w:val="000000" w:themeColor="text1"/>
        </w:rPr>
        <w:t xml:space="preserve">. </w:t>
      </w:r>
    </w:p>
    <w:p w:rsidR="005407C3" w:rsidRPr="00A82227" w:rsidRDefault="005407C3" w:rsidP="00526809">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Factores sociales.</w:t>
      </w:r>
    </w:p>
    <w:p w:rsidR="006465D9" w:rsidRPr="00A82227" w:rsidRDefault="006465D9" w:rsidP="00526809">
      <w:pPr>
        <w:rPr>
          <w:rFonts w:ascii="Times New Roman" w:eastAsia="Times New Roman" w:hAnsi="Times New Roman" w:cs="Times New Roman"/>
          <w:color w:val="000000" w:themeColor="text1"/>
        </w:rPr>
      </w:pPr>
    </w:p>
    <w:p w:rsidR="006465D9" w:rsidRPr="00A82227" w:rsidRDefault="006465D9" w:rsidP="006465D9">
      <w:pPr>
        <w:jc w:val="both"/>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Las condiciones de vida de la población están ligadas al desempeño de los diferentes sectores sociales. Por ejemplo, la educación y la salud fortalecen el capital humano necesario para la generación de ingresos, factor que a su vez determina el estado de pobreza de un hogar. </w:t>
      </w:r>
    </w:p>
    <w:p w:rsidR="006465D9" w:rsidRPr="00A82227" w:rsidRDefault="006465D9" w:rsidP="006465D9">
      <w:pPr>
        <w:jc w:val="both"/>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 </w:t>
      </w:r>
    </w:p>
    <w:p w:rsidR="006465D9" w:rsidRPr="00A82227" w:rsidRDefault="006465D9" w:rsidP="006465D9">
      <w:pPr>
        <w:jc w:val="both"/>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La distribución del capital humano en la población determina la composición y salarios en el mercado laboral, lo cual determina en gran medida la distribución del ingreso. </w:t>
      </w:r>
    </w:p>
    <w:p w:rsidR="006465D9" w:rsidRPr="00A82227" w:rsidRDefault="006465D9" w:rsidP="006465D9">
      <w:pPr>
        <w:jc w:val="both"/>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 </w:t>
      </w:r>
    </w:p>
    <w:p w:rsidR="006465D9" w:rsidRPr="00A82227" w:rsidRDefault="006465D9" w:rsidP="006465D9">
      <w:pPr>
        <w:jc w:val="both"/>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Dado que es a través del empleo, que las personas generan la mayoría de sus ingresos, la coyuntura laboral tiene repercusiones fundamentales sobre la pobreza, como también sobre la distribución del ingreso. El principal objetivo de la Política Social de Colombia es lograr que todos los colombianos tengan acceso a educación de calidad, a una seguridad social equitativa y solidaria, al mercado laboral -promoviendo la formalización o apoyando el emprendimiento- y a mecanismos de promoción social efectivos. </w:t>
      </w:r>
    </w:p>
    <w:p w:rsidR="006465D9" w:rsidRPr="00A82227" w:rsidRDefault="006465D9" w:rsidP="006465D9">
      <w:pPr>
        <w:jc w:val="both"/>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lastRenderedPageBreak/>
        <w:t> </w:t>
      </w:r>
    </w:p>
    <w:p w:rsidR="006465D9" w:rsidRPr="00A82227" w:rsidRDefault="006465D9" w:rsidP="006465D9">
      <w:pPr>
        <w:jc w:val="both"/>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De esta manera, se pretende generar las condiciones necesarias para que cualquier habitante, sin importar su condición, pueda generar y proteger los activos que posibiliten su desarrollo personal y social.</w:t>
      </w:r>
    </w:p>
    <w:p w:rsidR="005407C3" w:rsidRDefault="006465D9" w:rsidP="00A82227">
      <w:pPr>
        <w:jc w:val="both"/>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En este contexto, la Dirección de Desarrollo Social del DNP contribuye a dar los lineamientos en los temas de su competencia, que oriente las acciones del Gobierno Nacional, hacia la articulación y coordinación de políticas públicas, con una visión de Estado en el largo plazo, encaminada a la reducción  de la pobreza y la promoción del empleo y la equidad. Pabon(2018)</w:t>
      </w:r>
    </w:p>
    <w:p w:rsidR="00A82227" w:rsidRDefault="00A82227" w:rsidP="00A82227">
      <w:pPr>
        <w:jc w:val="both"/>
        <w:rPr>
          <w:rFonts w:ascii="Times New Roman" w:eastAsia="Times New Roman" w:hAnsi="Times New Roman" w:cs="Times New Roman"/>
          <w:color w:val="000000" w:themeColor="text1"/>
        </w:rPr>
      </w:pPr>
    </w:p>
    <w:p w:rsidR="00A82227" w:rsidRPr="00A82227" w:rsidRDefault="00A82227" w:rsidP="00A82227">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p>
    <w:p w:rsidR="006465D9" w:rsidRPr="00A82227" w:rsidRDefault="006465D9" w:rsidP="00526809">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Factores tecnologicos:</w:t>
      </w:r>
    </w:p>
    <w:p w:rsidR="006465D9" w:rsidRPr="00A82227" w:rsidRDefault="006465D9" w:rsidP="00526809">
      <w:pPr>
        <w:rPr>
          <w:rFonts w:ascii="Times New Roman" w:eastAsia="Times New Roman" w:hAnsi="Times New Roman" w:cs="Times New Roman"/>
          <w:color w:val="000000" w:themeColor="text1"/>
        </w:rPr>
      </w:pPr>
    </w:p>
    <w:p w:rsidR="006465D9" w:rsidRPr="00A82227" w:rsidRDefault="006465D9" w:rsidP="006465D9">
      <w:pPr>
        <w:rPr>
          <w:rFonts w:ascii="Times New Roman" w:eastAsia="Times New Roman" w:hAnsi="Times New Roman" w:cs="Times New Roman"/>
          <w:color w:val="000000" w:themeColor="text1"/>
          <w:shd w:val="clear" w:color="auto" w:fill="FFFFFF"/>
        </w:rPr>
      </w:pPr>
      <w:r w:rsidRPr="00A82227">
        <w:rPr>
          <w:rFonts w:ascii="Times New Roman" w:eastAsia="Times New Roman" w:hAnsi="Times New Roman" w:cs="Times New Roman"/>
          <w:color w:val="000000" w:themeColor="text1"/>
          <w:shd w:val="clear" w:color="auto" w:fill="FFFFFF"/>
        </w:rPr>
        <w:t>En 2017, Colombia conservó el puesto 84, en una lista de 176 países, en el Índice de Desarrollo de las TIC (tecnologías de la información y las comunicaciones) que realiza la Unión Internacional de Telecomunicaciones (UIT), el brazo de las Naciones Unidas para la materia. El organismo reconoció las acciones de las entidades competentes del Gobierno Nacional para promover el acceso a la tecnología, una mejor calidad en los servicios y la innovación, pero señaló que hay retos como la expansión de la banda ancha móvil y el despliegue de infraestructura.</w:t>
      </w:r>
    </w:p>
    <w:p w:rsidR="006465D9" w:rsidRPr="00A82227" w:rsidRDefault="006465D9" w:rsidP="006465D9">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shd w:val="clear" w:color="auto" w:fill="FFFFFF"/>
        </w:rPr>
        <w:t>Pese a que Colombia quedó en el mismo puesto del año pasado, su puntuación pasó de 5,12 a 5,36, por encima de países de América Latina como Venezuela, México, Panamá y Perú, pero por debajo de Uruguay, Argentina y Chile, los primeros de la región. En cuanto a acceso, Colombia mejoró: llegó a 5,88 frente a 5,74 del año pasado; en uso pasó de 3,85 a 4,11, y en habilidades escaló de 6,44 a 6,81. En el país, indica la UIT, por cada 100 habitantes, hay 45 con acceso a internet móvil de banda ancha y apenas 11,8 a banda ancha fija. </w:t>
      </w:r>
      <w:r w:rsidR="004B7344" w:rsidRPr="00A82227">
        <w:rPr>
          <w:rFonts w:ascii="Times New Roman" w:eastAsia="Times New Roman" w:hAnsi="Times New Roman" w:cs="Times New Roman"/>
          <w:color w:val="000000" w:themeColor="text1"/>
          <w:shd w:val="clear" w:color="auto" w:fill="FFFFFF"/>
        </w:rPr>
        <w:t>Medina(2017)</w:t>
      </w:r>
    </w:p>
    <w:p w:rsidR="006465D9" w:rsidRDefault="006465D9" w:rsidP="006465D9">
      <w:pPr>
        <w:rPr>
          <w:rFonts w:ascii="Times New Roman" w:eastAsia="Times New Roman" w:hAnsi="Times New Roman" w:cs="Times New Roman"/>
          <w:color w:val="000000" w:themeColor="text1"/>
        </w:rPr>
      </w:pPr>
    </w:p>
    <w:p w:rsidR="00A82227" w:rsidRDefault="00A82227" w:rsidP="006465D9">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El pais actualemtne esta necesitando tecnologia lo cual es muy bueno para el proyecto pues demuestra que hay un amplio mercado para este, un mercado que necesita ser atacado.</w:t>
      </w:r>
    </w:p>
    <w:p w:rsidR="00A82227" w:rsidRPr="00A82227" w:rsidRDefault="00A82227" w:rsidP="006465D9">
      <w:pPr>
        <w:rPr>
          <w:rFonts w:ascii="Times New Roman" w:eastAsia="Times New Roman" w:hAnsi="Times New Roman" w:cs="Times New Roman"/>
          <w:color w:val="000000" w:themeColor="text1"/>
        </w:rPr>
      </w:pPr>
    </w:p>
    <w:p w:rsidR="00D31FE7" w:rsidRPr="00A82227" w:rsidRDefault="00D31FE7" w:rsidP="00D31FE7">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Factores ambientales:</w:t>
      </w:r>
    </w:p>
    <w:p w:rsidR="004B7344" w:rsidRPr="00A82227" w:rsidRDefault="004B7344" w:rsidP="00D31FE7">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Actualemte Colombia tiene una serie de prolemas ambientales que si no se curan prontamente pueden llegar a tener consecuencias debastadoras para el futuro del pais, estos son:</w:t>
      </w:r>
    </w:p>
    <w:p w:rsidR="004B7344" w:rsidRPr="00A82227" w:rsidRDefault="004B7344" w:rsidP="004B7344">
      <w:pPr>
        <w:pStyle w:val="Prrafodelista"/>
        <w:numPr>
          <w:ilvl w:val="0"/>
          <w:numId w:val="4"/>
        </w:num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La contaminacion atmosferica.</w:t>
      </w:r>
    </w:p>
    <w:p w:rsidR="004B7344" w:rsidRPr="00A82227" w:rsidRDefault="004B7344" w:rsidP="004B7344">
      <w:pPr>
        <w:pStyle w:val="Prrafodelista"/>
        <w:numPr>
          <w:ilvl w:val="0"/>
          <w:numId w:val="4"/>
        </w:num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Contaminacion hidrica</w:t>
      </w:r>
    </w:p>
    <w:p w:rsidR="004B7344" w:rsidRPr="00A82227" w:rsidRDefault="004B7344" w:rsidP="004B7344">
      <w:pPr>
        <w:pStyle w:val="Prrafodelista"/>
        <w:numPr>
          <w:ilvl w:val="0"/>
          <w:numId w:val="4"/>
        </w:num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Destruccion de choco biogeografico</w:t>
      </w:r>
    </w:p>
    <w:p w:rsidR="004B7344" w:rsidRPr="00A82227" w:rsidRDefault="004B7344" w:rsidP="004B7344">
      <w:pPr>
        <w:pStyle w:val="Prrafodelista"/>
        <w:numPr>
          <w:ilvl w:val="0"/>
          <w:numId w:val="4"/>
        </w:num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Gran deforestacion</w:t>
      </w:r>
    </w:p>
    <w:p w:rsidR="004B7344" w:rsidRPr="00A82227" w:rsidRDefault="004B7344" w:rsidP="004B7344">
      <w:pPr>
        <w:pStyle w:val="Prrafodelista"/>
        <w:numPr>
          <w:ilvl w:val="0"/>
          <w:numId w:val="4"/>
        </w:num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Elevada mineria furtiva</w:t>
      </w:r>
    </w:p>
    <w:p w:rsidR="004B7344" w:rsidRPr="00A82227" w:rsidRDefault="004B7344" w:rsidP="004B7344">
      <w:pPr>
        <w:pStyle w:val="Prrafodelista"/>
        <w:numPr>
          <w:ilvl w:val="0"/>
          <w:numId w:val="4"/>
        </w:num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Monocultivos ycultivos ilegales</w:t>
      </w:r>
    </w:p>
    <w:p w:rsidR="004B7344" w:rsidRPr="00A82227" w:rsidRDefault="004B7344" w:rsidP="004B7344">
      <w:pPr>
        <w:pStyle w:val="Prrafodelista"/>
        <w:numPr>
          <w:ilvl w:val="0"/>
          <w:numId w:val="4"/>
        </w:num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El uso de la palma africana para generacion de combustible</w:t>
      </w:r>
    </w:p>
    <w:p w:rsidR="004B7344" w:rsidRPr="00A82227" w:rsidRDefault="004B7344" w:rsidP="004B7344">
      <w:pPr>
        <w:pStyle w:val="Prrafodelista"/>
        <w:numPr>
          <w:ilvl w:val="0"/>
          <w:numId w:val="4"/>
        </w:num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 xml:space="preserve">Basura </w:t>
      </w:r>
    </w:p>
    <w:p w:rsidR="004B7344" w:rsidRPr="00A82227" w:rsidRDefault="004B7344" w:rsidP="004B7344">
      <w:pPr>
        <w:pStyle w:val="Prrafodelista"/>
        <w:numPr>
          <w:ilvl w:val="0"/>
          <w:numId w:val="4"/>
        </w:num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Contaminacion sonica</w:t>
      </w:r>
    </w:p>
    <w:p w:rsidR="004B7344" w:rsidRPr="00A82227" w:rsidRDefault="004B7344" w:rsidP="004B7344">
      <w:pPr>
        <w:pStyle w:val="Prrafodelista"/>
        <w:numPr>
          <w:ilvl w:val="0"/>
          <w:numId w:val="4"/>
        </w:num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Salinizacion de los suelos</w:t>
      </w:r>
    </w:p>
    <w:p w:rsidR="004B7344" w:rsidRDefault="00A82227" w:rsidP="00D31FE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Estos problemas no son de interes para el proyecto pues en la elaboracion de este el impacto ambiental es minimo ya que solo hace uso de pocos computadores.</w:t>
      </w:r>
    </w:p>
    <w:p w:rsidR="00A82227" w:rsidRPr="00A82227" w:rsidRDefault="00A82227" w:rsidP="00D31FE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w:t>
      </w:r>
    </w:p>
    <w:p w:rsidR="00D31FE7" w:rsidRPr="00A82227" w:rsidRDefault="00D31FE7" w:rsidP="00D31FE7">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Factores Legales:</w:t>
      </w:r>
    </w:p>
    <w:p w:rsidR="004B7344" w:rsidRPr="00A82227" w:rsidRDefault="004B7344" w:rsidP="004B7344">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 xml:space="preserve">En colombia </w:t>
      </w:r>
      <w:r w:rsidRPr="00A82227">
        <w:rPr>
          <w:rFonts w:ascii="Times New Roman" w:eastAsia="Times New Roman" w:hAnsi="Times New Roman" w:cs="Times New Roman"/>
          <w:color w:val="000000" w:themeColor="text1"/>
        </w:rPr>
        <w:t> </w:t>
      </w:r>
      <w:r w:rsidRPr="00A82227">
        <w:rPr>
          <w:rFonts w:ascii="Times New Roman" w:eastAsia="Times New Roman" w:hAnsi="Times New Roman" w:cs="Times New Roman"/>
          <w:color w:val="000000" w:themeColor="text1"/>
        </w:rPr>
        <w:t xml:space="preserve">la </w:t>
      </w:r>
      <w:r w:rsidRPr="00A82227">
        <w:rPr>
          <w:rFonts w:ascii="Times New Roman" w:eastAsia="Times New Roman" w:hAnsi="Times New Roman" w:cs="Times New Roman"/>
          <w:color w:val="000000" w:themeColor="text1"/>
        </w:rPr>
        <w:t>Ley 1482 de 2011, que tiene por objeto garantizar la protección de los derechos de una persona, grupo de personas, comunidad o pueblo, que sean vulnerados a través de actos de racismo o discriminación.</w:t>
      </w:r>
    </w:p>
    <w:p w:rsidR="006C3565" w:rsidRPr="00A82227" w:rsidRDefault="006C3565" w:rsidP="004B7344">
      <w:pPr>
        <w:rPr>
          <w:rFonts w:ascii="Times New Roman" w:eastAsia="Times New Roman" w:hAnsi="Times New Roman" w:cs="Times New Roman"/>
          <w:color w:val="000000" w:themeColor="text1"/>
        </w:rPr>
      </w:pPr>
    </w:p>
    <w:p w:rsidR="006C3565" w:rsidRPr="00A82227" w:rsidRDefault="006C3565" w:rsidP="004B7344">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Por otro lado la ley 1480 del 2011 e</w:t>
      </w:r>
      <w:r w:rsidRPr="00A82227">
        <w:rPr>
          <w:rFonts w:ascii="Times New Roman" w:eastAsia="Times New Roman" w:hAnsi="Times New Roman" w:cs="Times New Roman"/>
          <w:color w:val="000000" w:themeColor="text1"/>
        </w:rPr>
        <w:t xml:space="preserve">sta ley tiene como objetivos proteger, promover y garantizar la efectividad y el libre ejercicio de los derechos de los consumidores, así como amparar el respeto a su dignidad y a sus intereses económicos, en especial, lo referente a: </w:t>
      </w:r>
    </w:p>
    <w:p w:rsidR="006C3565" w:rsidRPr="00A82227" w:rsidRDefault="006C3565" w:rsidP="004B7344">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1. La protección de los consumidores frente a los riesgos para su salud y seguridad.</w:t>
      </w:r>
    </w:p>
    <w:p w:rsidR="006C3565" w:rsidRPr="00A82227" w:rsidRDefault="006C3565" w:rsidP="004B7344">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 xml:space="preserve"> 2. El acceso de los consumidores a una información adecuada, de acuerdo con los términos de esta ley, que les permita hacer elecciones bien fundadas. . </w:t>
      </w:r>
    </w:p>
    <w:p w:rsidR="006C3565" w:rsidRPr="00A82227" w:rsidRDefault="006C3565" w:rsidP="004B7344">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 xml:space="preserve">3. La educación del consumidor. </w:t>
      </w:r>
    </w:p>
    <w:p w:rsidR="006C3565" w:rsidRPr="00A82227" w:rsidRDefault="006C3565" w:rsidP="004B7344">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 xml:space="preserve">4. La libertad de constituir organizaciones de consumidores y la oportunidad para esas organizaciones de hacer oír sus opiniones en los procesos de adopción de decisiones que las afecten. </w:t>
      </w:r>
    </w:p>
    <w:p w:rsidR="006C3565" w:rsidRPr="00A82227" w:rsidRDefault="006C3565" w:rsidP="004B7344">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5. La protección especial a los niños, niñas y adolescentes, en su calidad de consumidores, de acuerdo con lo establecido en el Código de la Infancia y la Adolescencia.</w:t>
      </w:r>
    </w:p>
    <w:p w:rsidR="006C3565" w:rsidRPr="00A82227" w:rsidRDefault="006C3565" w:rsidP="004B7344">
      <w:pPr>
        <w:rPr>
          <w:rFonts w:ascii="Times New Roman" w:eastAsia="Times New Roman" w:hAnsi="Times New Roman" w:cs="Times New Roman"/>
          <w:color w:val="000000" w:themeColor="text1"/>
        </w:rPr>
      </w:pPr>
    </w:p>
    <w:p w:rsidR="006C3565" w:rsidRPr="00A82227" w:rsidRDefault="006C3565" w:rsidP="004B7344">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 xml:space="preserve">En la actualidad no existen leyes antimonopolio en Colombia </w:t>
      </w:r>
    </w:p>
    <w:p w:rsidR="004B7344" w:rsidRPr="00A82227" w:rsidRDefault="004B7344" w:rsidP="00D31FE7">
      <w:pPr>
        <w:rPr>
          <w:rFonts w:ascii="Times New Roman" w:eastAsia="Times New Roman" w:hAnsi="Times New Roman" w:cs="Times New Roman"/>
          <w:color w:val="000000" w:themeColor="text1"/>
        </w:rPr>
      </w:pPr>
    </w:p>
    <w:p w:rsidR="005407C3" w:rsidRPr="00A82227" w:rsidRDefault="006C3565" w:rsidP="00526809">
      <w:pPr>
        <w:rPr>
          <w:rFonts w:ascii="Times New Roman" w:eastAsia="Times New Roman" w:hAnsi="Times New Roman" w:cs="Times New Roman"/>
          <w:color w:val="000000" w:themeColor="text1"/>
        </w:rPr>
      </w:pPr>
      <w:r w:rsidRPr="00A82227">
        <w:rPr>
          <w:rFonts w:ascii="Times New Roman" w:eastAsia="Times New Roman" w:hAnsi="Times New Roman" w:cs="Times New Roman"/>
          <w:color w:val="000000" w:themeColor="text1"/>
        </w:rPr>
        <w:t>En colombia exist el ministerio de salud y proteccion social.</w:t>
      </w:r>
    </w:p>
    <w:p w:rsidR="00ED06B1" w:rsidRPr="00A82227" w:rsidRDefault="00ED06B1" w:rsidP="00ED06B1">
      <w:pPr>
        <w:rPr>
          <w:rFonts w:ascii="Times New Roman" w:hAnsi="Times New Roman" w:cs="Times New Roman"/>
          <w:color w:val="000000" w:themeColor="text1"/>
        </w:rPr>
      </w:pPr>
    </w:p>
    <w:p w:rsidR="00ED06B1" w:rsidRPr="00A82227" w:rsidRDefault="00A82227" w:rsidP="00ED06B1">
      <w:pPr>
        <w:rPr>
          <w:rFonts w:ascii="Times New Roman" w:hAnsi="Times New Roman" w:cs="Times New Roman"/>
          <w:color w:val="000000" w:themeColor="text1"/>
        </w:rPr>
      </w:pPr>
      <w:r>
        <w:rPr>
          <w:rFonts w:ascii="Times New Roman" w:hAnsi="Times New Roman" w:cs="Times New Roman"/>
          <w:color w:val="000000" w:themeColor="text1"/>
        </w:rPr>
        <w:t>Estas leyes cuidsan muy biena  los trabajadores y cosumidores que forman parte del proyecto, dando seguridad y calma a ellos mismos</w:t>
      </w:r>
      <w:bookmarkStart w:id="0" w:name="_GoBack"/>
      <w:bookmarkEnd w:id="0"/>
    </w:p>
    <w:p w:rsidR="00ED06B1" w:rsidRPr="00A82227" w:rsidRDefault="00ED06B1" w:rsidP="00ED06B1">
      <w:pPr>
        <w:rPr>
          <w:rFonts w:ascii="Times New Roman" w:hAnsi="Times New Roman" w:cs="Times New Roman"/>
          <w:color w:val="000000" w:themeColor="text1"/>
        </w:rPr>
      </w:pPr>
    </w:p>
    <w:p w:rsidR="00ED06B1" w:rsidRPr="00A82227" w:rsidRDefault="00ED06B1" w:rsidP="00ED06B1">
      <w:pPr>
        <w:rPr>
          <w:rFonts w:ascii="Times New Roman" w:eastAsia="Times New Roman" w:hAnsi="Times New Roman" w:cs="Times New Roman"/>
          <w:color w:val="000000" w:themeColor="text1"/>
          <w:shd w:val="clear" w:color="auto" w:fill="FFFFFF"/>
          <w:lang w:val="en-US"/>
        </w:rPr>
      </w:pPr>
      <w:r w:rsidRPr="00A82227">
        <w:rPr>
          <w:rFonts w:ascii="Times New Roman" w:eastAsia="Times New Roman" w:hAnsi="Times New Roman" w:cs="Times New Roman"/>
          <w:color w:val="000000" w:themeColor="text1"/>
          <w:shd w:val="clear" w:color="auto" w:fill="FFFFFF"/>
        </w:rPr>
        <w:t xml:space="preserve">Tiempo, C. (2018). Prepárese, servicios como Netflix, Uber y Spotify ahora tendrán IVA. </w:t>
      </w:r>
      <w:r w:rsidRPr="00A82227">
        <w:rPr>
          <w:rFonts w:ascii="Times New Roman" w:eastAsia="Times New Roman" w:hAnsi="Times New Roman" w:cs="Times New Roman"/>
          <w:color w:val="000000" w:themeColor="text1"/>
          <w:shd w:val="clear" w:color="auto" w:fill="FFFFFF"/>
          <w:lang w:val="en-US"/>
        </w:rPr>
        <w:t xml:space="preserve">Retrieved from </w:t>
      </w:r>
      <w:hyperlink r:id="rId5" w:history="1">
        <w:r w:rsidR="006465D9" w:rsidRPr="00A82227">
          <w:rPr>
            <w:rStyle w:val="Hipervnculo"/>
            <w:rFonts w:ascii="Times New Roman" w:eastAsia="Times New Roman" w:hAnsi="Times New Roman" w:cs="Times New Roman"/>
            <w:color w:val="000000" w:themeColor="text1"/>
            <w:shd w:val="clear" w:color="auto" w:fill="FFFFFF"/>
            <w:lang w:val="en-US"/>
          </w:rPr>
          <w:t>https://www.eltiempo.com/tecnosfera/novedades-tecnologia/impuestos-en-el-sector-tic-tras-reforma-tributaria-31099</w:t>
        </w:r>
      </w:hyperlink>
    </w:p>
    <w:p w:rsidR="006465D9" w:rsidRPr="00A82227" w:rsidRDefault="006465D9" w:rsidP="00ED06B1">
      <w:pPr>
        <w:rPr>
          <w:rFonts w:ascii="Times New Roman" w:eastAsia="Times New Roman" w:hAnsi="Times New Roman" w:cs="Times New Roman"/>
          <w:color w:val="000000" w:themeColor="text1"/>
          <w:lang w:val="en-US"/>
        </w:rPr>
      </w:pPr>
    </w:p>
    <w:p w:rsidR="00ED06B1" w:rsidRPr="00A82227" w:rsidRDefault="00ED06B1" w:rsidP="00ED06B1">
      <w:pPr>
        <w:rPr>
          <w:rFonts w:ascii="Times New Roman" w:hAnsi="Times New Roman" w:cs="Times New Roman"/>
          <w:color w:val="000000" w:themeColor="text1"/>
          <w:lang w:val="en-US"/>
        </w:rPr>
      </w:pPr>
      <w:r w:rsidRPr="00A82227">
        <w:rPr>
          <w:rFonts w:ascii="Times New Roman" w:hAnsi="Times New Roman" w:cs="Times New Roman"/>
          <w:color w:val="000000" w:themeColor="text1"/>
          <w:lang w:val="en-US"/>
        </w:rPr>
        <w:t xml:space="preserve"> </w:t>
      </w:r>
      <w:r w:rsidR="006465D9" w:rsidRPr="00A82227">
        <w:rPr>
          <w:rFonts w:ascii="Times New Roman" w:hAnsi="Times New Roman" w:cs="Times New Roman"/>
          <w:color w:val="000000" w:themeColor="text1"/>
        </w:rPr>
        <w:t xml:space="preserve">Pabon(2018), Direccion de desarrollo social. </w:t>
      </w:r>
      <w:proofErr w:type="spellStart"/>
      <w:r w:rsidR="006465D9" w:rsidRPr="00A82227">
        <w:rPr>
          <w:rFonts w:ascii="Times New Roman" w:hAnsi="Times New Roman" w:cs="Times New Roman"/>
          <w:color w:val="000000" w:themeColor="text1"/>
          <w:lang w:val="en-US"/>
        </w:rPr>
        <w:t>Retr</w:t>
      </w:r>
      <w:r w:rsidR="004B7344" w:rsidRPr="00A82227">
        <w:rPr>
          <w:rFonts w:ascii="Times New Roman" w:hAnsi="Times New Roman" w:cs="Times New Roman"/>
          <w:color w:val="000000" w:themeColor="text1"/>
          <w:lang w:val="en-US"/>
        </w:rPr>
        <w:t>e</w:t>
      </w:r>
      <w:r w:rsidR="006465D9" w:rsidRPr="00A82227">
        <w:rPr>
          <w:rFonts w:ascii="Times New Roman" w:hAnsi="Times New Roman" w:cs="Times New Roman"/>
          <w:color w:val="000000" w:themeColor="text1"/>
          <w:lang w:val="en-US"/>
        </w:rPr>
        <w:t>ived</w:t>
      </w:r>
      <w:proofErr w:type="spellEnd"/>
      <w:r w:rsidR="006465D9" w:rsidRPr="00A82227">
        <w:rPr>
          <w:rFonts w:ascii="Times New Roman" w:hAnsi="Times New Roman" w:cs="Times New Roman"/>
          <w:color w:val="000000" w:themeColor="text1"/>
          <w:lang w:val="en-US"/>
        </w:rPr>
        <w:t xml:space="preserve"> from </w:t>
      </w:r>
      <w:hyperlink r:id="rId6" w:history="1">
        <w:r w:rsidR="006465D9" w:rsidRPr="00A82227">
          <w:rPr>
            <w:rStyle w:val="Hipervnculo"/>
            <w:rFonts w:ascii="Times New Roman" w:hAnsi="Times New Roman" w:cs="Times New Roman"/>
            <w:color w:val="000000" w:themeColor="text1"/>
            <w:lang w:val="en-US"/>
          </w:rPr>
          <w:t>https://www.dnp.gov.co/programas/desarrollo-social/Paginas/desarrollo-social.aspx</w:t>
        </w:r>
      </w:hyperlink>
    </w:p>
    <w:p w:rsidR="006465D9" w:rsidRPr="00A82227" w:rsidRDefault="006465D9" w:rsidP="00ED06B1">
      <w:pPr>
        <w:rPr>
          <w:rFonts w:ascii="Times New Roman" w:hAnsi="Times New Roman" w:cs="Times New Roman"/>
          <w:color w:val="000000" w:themeColor="text1"/>
          <w:lang w:val="en-US"/>
        </w:rPr>
      </w:pPr>
    </w:p>
    <w:p w:rsidR="004B7344" w:rsidRPr="00A82227" w:rsidRDefault="004B7344" w:rsidP="00ED06B1">
      <w:pPr>
        <w:rPr>
          <w:rFonts w:ascii="Times New Roman" w:hAnsi="Times New Roman" w:cs="Times New Roman"/>
          <w:color w:val="000000" w:themeColor="text1"/>
          <w:lang w:val="en-US"/>
        </w:rPr>
      </w:pPr>
      <w:r w:rsidRPr="00A82227">
        <w:rPr>
          <w:rFonts w:ascii="Times New Roman" w:hAnsi="Times New Roman" w:cs="Times New Roman"/>
          <w:color w:val="000000" w:themeColor="text1"/>
        </w:rPr>
        <w:t xml:space="preserve">Medina(2017),Como va Colombia en desarrollo tecnologico? </w:t>
      </w:r>
      <w:r w:rsidRPr="00A82227">
        <w:rPr>
          <w:rFonts w:ascii="Times New Roman" w:hAnsi="Times New Roman" w:cs="Times New Roman"/>
          <w:color w:val="000000" w:themeColor="text1"/>
          <w:lang w:val="en-US"/>
        </w:rPr>
        <w:t xml:space="preserve">Retrieved from </w:t>
      </w:r>
      <w:hyperlink r:id="rId7" w:history="1">
        <w:r w:rsidRPr="00A82227">
          <w:rPr>
            <w:rStyle w:val="Hipervnculo"/>
            <w:rFonts w:ascii="Times New Roman" w:hAnsi="Times New Roman" w:cs="Times New Roman"/>
            <w:color w:val="000000" w:themeColor="text1"/>
            <w:lang w:val="en-US"/>
          </w:rPr>
          <w:t>https://www.elespectador.com/economia/como-va-colombia-en-desarrollo-tecnologico-articulo-725235</w:t>
        </w:r>
      </w:hyperlink>
    </w:p>
    <w:p w:rsidR="004B7344" w:rsidRPr="00A82227" w:rsidRDefault="004B7344" w:rsidP="00ED06B1">
      <w:pPr>
        <w:rPr>
          <w:rFonts w:ascii="Times New Roman" w:hAnsi="Times New Roman" w:cs="Times New Roman"/>
          <w:color w:val="000000" w:themeColor="text1"/>
          <w:lang w:val="en-US"/>
        </w:rPr>
      </w:pPr>
    </w:p>
    <w:sectPr w:rsidR="004B7344" w:rsidRPr="00A82227" w:rsidSect="008E20B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4856"/>
    <w:multiLevelType w:val="hybridMultilevel"/>
    <w:tmpl w:val="D09CAB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517147D"/>
    <w:multiLevelType w:val="hybridMultilevel"/>
    <w:tmpl w:val="764845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5AB41B7"/>
    <w:multiLevelType w:val="hybridMultilevel"/>
    <w:tmpl w:val="9ADC6F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0D3526A"/>
    <w:multiLevelType w:val="hybridMultilevel"/>
    <w:tmpl w:val="01BABC6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B1"/>
    <w:rsid w:val="004B41F5"/>
    <w:rsid w:val="004B7344"/>
    <w:rsid w:val="00526809"/>
    <w:rsid w:val="005407C3"/>
    <w:rsid w:val="006465D9"/>
    <w:rsid w:val="006C3565"/>
    <w:rsid w:val="008E20B5"/>
    <w:rsid w:val="0093570E"/>
    <w:rsid w:val="00A82227"/>
    <w:rsid w:val="00D31FE7"/>
    <w:rsid w:val="00E15637"/>
    <w:rsid w:val="00ED06B1"/>
  </w:rsids>
  <m:mathPr>
    <m:mathFont m:val="Cambria Math"/>
    <m:brkBin m:val="before"/>
    <m:brkBinSub m:val="--"/>
    <m:smallFrac m:val="0"/>
    <m:dispDef/>
    <m:lMargin m:val="0"/>
    <m:rMargin m:val="0"/>
    <m:defJc m:val="centerGroup"/>
    <m:wrapIndent m:val="1440"/>
    <m:intLim m:val="subSup"/>
    <m:naryLim m:val="undOvr"/>
  </m:mathPr>
  <w:themeFontLang w:val="es-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AB00CFD"/>
  <w15:chartTrackingRefBased/>
  <w15:docId w15:val="{7FC1C9B0-FACD-0745-9A92-0A912E8A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ED06B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06B1"/>
    <w:rPr>
      <w:rFonts w:ascii="Times New Roman" w:eastAsia="Times New Roman" w:hAnsi="Times New Roman" w:cs="Times New Roman"/>
      <w:b/>
      <w:bCs/>
      <w:kern w:val="36"/>
      <w:sz w:val="48"/>
      <w:szCs w:val="48"/>
    </w:rPr>
  </w:style>
  <w:style w:type="paragraph" w:styleId="Prrafodelista">
    <w:name w:val="List Paragraph"/>
    <w:basedOn w:val="Normal"/>
    <w:uiPriority w:val="34"/>
    <w:qFormat/>
    <w:rsid w:val="00ED06B1"/>
    <w:pPr>
      <w:ind w:left="720"/>
      <w:contextualSpacing/>
    </w:pPr>
  </w:style>
  <w:style w:type="paragraph" w:styleId="NormalWeb">
    <w:name w:val="Normal (Web)"/>
    <w:basedOn w:val="Normal"/>
    <w:uiPriority w:val="99"/>
    <w:semiHidden/>
    <w:unhideWhenUsed/>
    <w:rsid w:val="004B41F5"/>
    <w:pPr>
      <w:spacing w:before="100" w:beforeAutospacing="1" w:after="100" w:afterAutospacing="1"/>
    </w:pPr>
    <w:rPr>
      <w:rFonts w:ascii="Times New Roman" w:eastAsia="Times New Roman" w:hAnsi="Times New Roman" w:cs="Times New Roman"/>
    </w:rPr>
  </w:style>
  <w:style w:type="character" w:styleId="Textoennegrita">
    <w:name w:val="Strong"/>
    <w:basedOn w:val="Fuentedeprrafopredeter"/>
    <w:uiPriority w:val="22"/>
    <w:qFormat/>
    <w:rsid w:val="00526809"/>
    <w:rPr>
      <w:b/>
      <w:bCs/>
    </w:rPr>
  </w:style>
  <w:style w:type="character" w:styleId="Hipervnculo">
    <w:name w:val="Hyperlink"/>
    <w:basedOn w:val="Fuentedeprrafopredeter"/>
    <w:uiPriority w:val="99"/>
    <w:unhideWhenUsed/>
    <w:rsid w:val="006465D9"/>
    <w:rPr>
      <w:color w:val="0563C1" w:themeColor="hyperlink"/>
      <w:u w:val="single"/>
    </w:rPr>
  </w:style>
  <w:style w:type="character" w:styleId="Mencinsinresolver">
    <w:name w:val="Unresolved Mention"/>
    <w:basedOn w:val="Fuentedeprrafopredeter"/>
    <w:uiPriority w:val="99"/>
    <w:semiHidden/>
    <w:unhideWhenUsed/>
    <w:rsid w:val="006465D9"/>
    <w:rPr>
      <w:color w:val="605E5C"/>
      <w:shd w:val="clear" w:color="auto" w:fill="E1DFDD"/>
    </w:rPr>
  </w:style>
  <w:style w:type="character" w:customStyle="1" w:styleId="apple-converted-space">
    <w:name w:val="apple-converted-space"/>
    <w:basedOn w:val="Fuentedeprrafopredeter"/>
    <w:rsid w:val="00646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5434">
      <w:bodyDiv w:val="1"/>
      <w:marLeft w:val="0"/>
      <w:marRight w:val="0"/>
      <w:marTop w:val="0"/>
      <w:marBottom w:val="0"/>
      <w:divBdr>
        <w:top w:val="none" w:sz="0" w:space="0" w:color="auto"/>
        <w:left w:val="none" w:sz="0" w:space="0" w:color="auto"/>
        <w:bottom w:val="none" w:sz="0" w:space="0" w:color="auto"/>
        <w:right w:val="none" w:sz="0" w:space="0" w:color="auto"/>
      </w:divBdr>
    </w:div>
    <w:div w:id="358512469">
      <w:bodyDiv w:val="1"/>
      <w:marLeft w:val="0"/>
      <w:marRight w:val="0"/>
      <w:marTop w:val="0"/>
      <w:marBottom w:val="0"/>
      <w:divBdr>
        <w:top w:val="none" w:sz="0" w:space="0" w:color="auto"/>
        <w:left w:val="none" w:sz="0" w:space="0" w:color="auto"/>
        <w:bottom w:val="none" w:sz="0" w:space="0" w:color="auto"/>
        <w:right w:val="none" w:sz="0" w:space="0" w:color="auto"/>
      </w:divBdr>
    </w:div>
    <w:div w:id="385104158">
      <w:bodyDiv w:val="1"/>
      <w:marLeft w:val="0"/>
      <w:marRight w:val="0"/>
      <w:marTop w:val="0"/>
      <w:marBottom w:val="0"/>
      <w:divBdr>
        <w:top w:val="none" w:sz="0" w:space="0" w:color="auto"/>
        <w:left w:val="none" w:sz="0" w:space="0" w:color="auto"/>
        <w:bottom w:val="none" w:sz="0" w:space="0" w:color="auto"/>
        <w:right w:val="none" w:sz="0" w:space="0" w:color="auto"/>
      </w:divBdr>
    </w:div>
    <w:div w:id="479811328">
      <w:bodyDiv w:val="1"/>
      <w:marLeft w:val="0"/>
      <w:marRight w:val="0"/>
      <w:marTop w:val="0"/>
      <w:marBottom w:val="0"/>
      <w:divBdr>
        <w:top w:val="none" w:sz="0" w:space="0" w:color="auto"/>
        <w:left w:val="none" w:sz="0" w:space="0" w:color="auto"/>
        <w:bottom w:val="none" w:sz="0" w:space="0" w:color="auto"/>
        <w:right w:val="none" w:sz="0" w:space="0" w:color="auto"/>
      </w:divBdr>
    </w:div>
    <w:div w:id="509612806">
      <w:bodyDiv w:val="1"/>
      <w:marLeft w:val="0"/>
      <w:marRight w:val="0"/>
      <w:marTop w:val="0"/>
      <w:marBottom w:val="0"/>
      <w:divBdr>
        <w:top w:val="none" w:sz="0" w:space="0" w:color="auto"/>
        <w:left w:val="none" w:sz="0" w:space="0" w:color="auto"/>
        <w:bottom w:val="none" w:sz="0" w:space="0" w:color="auto"/>
        <w:right w:val="none" w:sz="0" w:space="0" w:color="auto"/>
      </w:divBdr>
    </w:div>
    <w:div w:id="641614156">
      <w:bodyDiv w:val="1"/>
      <w:marLeft w:val="0"/>
      <w:marRight w:val="0"/>
      <w:marTop w:val="0"/>
      <w:marBottom w:val="0"/>
      <w:divBdr>
        <w:top w:val="none" w:sz="0" w:space="0" w:color="auto"/>
        <w:left w:val="none" w:sz="0" w:space="0" w:color="auto"/>
        <w:bottom w:val="none" w:sz="0" w:space="0" w:color="auto"/>
        <w:right w:val="none" w:sz="0" w:space="0" w:color="auto"/>
      </w:divBdr>
    </w:div>
    <w:div w:id="702244267">
      <w:bodyDiv w:val="1"/>
      <w:marLeft w:val="0"/>
      <w:marRight w:val="0"/>
      <w:marTop w:val="0"/>
      <w:marBottom w:val="0"/>
      <w:divBdr>
        <w:top w:val="none" w:sz="0" w:space="0" w:color="auto"/>
        <w:left w:val="none" w:sz="0" w:space="0" w:color="auto"/>
        <w:bottom w:val="none" w:sz="0" w:space="0" w:color="auto"/>
        <w:right w:val="none" w:sz="0" w:space="0" w:color="auto"/>
      </w:divBdr>
    </w:div>
    <w:div w:id="980767664">
      <w:bodyDiv w:val="1"/>
      <w:marLeft w:val="0"/>
      <w:marRight w:val="0"/>
      <w:marTop w:val="0"/>
      <w:marBottom w:val="0"/>
      <w:divBdr>
        <w:top w:val="none" w:sz="0" w:space="0" w:color="auto"/>
        <w:left w:val="none" w:sz="0" w:space="0" w:color="auto"/>
        <w:bottom w:val="none" w:sz="0" w:space="0" w:color="auto"/>
        <w:right w:val="none" w:sz="0" w:space="0" w:color="auto"/>
      </w:divBdr>
    </w:div>
    <w:div w:id="1008295397">
      <w:bodyDiv w:val="1"/>
      <w:marLeft w:val="0"/>
      <w:marRight w:val="0"/>
      <w:marTop w:val="0"/>
      <w:marBottom w:val="0"/>
      <w:divBdr>
        <w:top w:val="none" w:sz="0" w:space="0" w:color="auto"/>
        <w:left w:val="none" w:sz="0" w:space="0" w:color="auto"/>
        <w:bottom w:val="none" w:sz="0" w:space="0" w:color="auto"/>
        <w:right w:val="none" w:sz="0" w:space="0" w:color="auto"/>
      </w:divBdr>
    </w:div>
    <w:div w:id="1113550282">
      <w:bodyDiv w:val="1"/>
      <w:marLeft w:val="0"/>
      <w:marRight w:val="0"/>
      <w:marTop w:val="0"/>
      <w:marBottom w:val="0"/>
      <w:divBdr>
        <w:top w:val="none" w:sz="0" w:space="0" w:color="auto"/>
        <w:left w:val="none" w:sz="0" w:space="0" w:color="auto"/>
        <w:bottom w:val="none" w:sz="0" w:space="0" w:color="auto"/>
        <w:right w:val="none" w:sz="0" w:space="0" w:color="auto"/>
      </w:divBdr>
    </w:div>
    <w:div w:id="1175922163">
      <w:bodyDiv w:val="1"/>
      <w:marLeft w:val="0"/>
      <w:marRight w:val="0"/>
      <w:marTop w:val="0"/>
      <w:marBottom w:val="0"/>
      <w:divBdr>
        <w:top w:val="none" w:sz="0" w:space="0" w:color="auto"/>
        <w:left w:val="none" w:sz="0" w:space="0" w:color="auto"/>
        <w:bottom w:val="none" w:sz="0" w:space="0" w:color="auto"/>
        <w:right w:val="none" w:sz="0" w:space="0" w:color="auto"/>
      </w:divBdr>
    </w:div>
    <w:div w:id="1234000537">
      <w:bodyDiv w:val="1"/>
      <w:marLeft w:val="0"/>
      <w:marRight w:val="0"/>
      <w:marTop w:val="0"/>
      <w:marBottom w:val="0"/>
      <w:divBdr>
        <w:top w:val="none" w:sz="0" w:space="0" w:color="auto"/>
        <w:left w:val="none" w:sz="0" w:space="0" w:color="auto"/>
        <w:bottom w:val="none" w:sz="0" w:space="0" w:color="auto"/>
        <w:right w:val="none" w:sz="0" w:space="0" w:color="auto"/>
      </w:divBdr>
    </w:div>
    <w:div w:id="1258127350">
      <w:bodyDiv w:val="1"/>
      <w:marLeft w:val="0"/>
      <w:marRight w:val="0"/>
      <w:marTop w:val="0"/>
      <w:marBottom w:val="0"/>
      <w:divBdr>
        <w:top w:val="none" w:sz="0" w:space="0" w:color="auto"/>
        <w:left w:val="none" w:sz="0" w:space="0" w:color="auto"/>
        <w:bottom w:val="none" w:sz="0" w:space="0" w:color="auto"/>
        <w:right w:val="none" w:sz="0" w:space="0" w:color="auto"/>
      </w:divBdr>
    </w:div>
    <w:div w:id="1331912206">
      <w:bodyDiv w:val="1"/>
      <w:marLeft w:val="0"/>
      <w:marRight w:val="0"/>
      <w:marTop w:val="0"/>
      <w:marBottom w:val="0"/>
      <w:divBdr>
        <w:top w:val="none" w:sz="0" w:space="0" w:color="auto"/>
        <w:left w:val="none" w:sz="0" w:space="0" w:color="auto"/>
        <w:bottom w:val="none" w:sz="0" w:space="0" w:color="auto"/>
        <w:right w:val="none" w:sz="0" w:space="0" w:color="auto"/>
      </w:divBdr>
    </w:div>
    <w:div w:id="1463888950">
      <w:bodyDiv w:val="1"/>
      <w:marLeft w:val="0"/>
      <w:marRight w:val="0"/>
      <w:marTop w:val="0"/>
      <w:marBottom w:val="0"/>
      <w:divBdr>
        <w:top w:val="none" w:sz="0" w:space="0" w:color="auto"/>
        <w:left w:val="none" w:sz="0" w:space="0" w:color="auto"/>
        <w:bottom w:val="none" w:sz="0" w:space="0" w:color="auto"/>
        <w:right w:val="none" w:sz="0" w:space="0" w:color="auto"/>
      </w:divBdr>
      <w:divsChild>
        <w:div w:id="1532569174">
          <w:marLeft w:val="0"/>
          <w:marRight w:val="0"/>
          <w:marTop w:val="0"/>
          <w:marBottom w:val="0"/>
          <w:divBdr>
            <w:top w:val="none" w:sz="0" w:space="0" w:color="auto"/>
            <w:left w:val="none" w:sz="0" w:space="0" w:color="auto"/>
            <w:bottom w:val="none" w:sz="0" w:space="0" w:color="auto"/>
            <w:right w:val="none" w:sz="0" w:space="0" w:color="auto"/>
          </w:divBdr>
          <w:divsChild>
            <w:div w:id="1855460436">
              <w:marLeft w:val="0"/>
              <w:marRight w:val="0"/>
              <w:marTop w:val="0"/>
              <w:marBottom w:val="0"/>
              <w:divBdr>
                <w:top w:val="none" w:sz="0" w:space="0" w:color="auto"/>
                <w:left w:val="none" w:sz="0" w:space="0" w:color="auto"/>
                <w:bottom w:val="none" w:sz="0" w:space="0" w:color="auto"/>
                <w:right w:val="none" w:sz="0" w:space="0" w:color="auto"/>
              </w:divBdr>
              <w:divsChild>
                <w:div w:id="2624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7040">
      <w:bodyDiv w:val="1"/>
      <w:marLeft w:val="0"/>
      <w:marRight w:val="0"/>
      <w:marTop w:val="0"/>
      <w:marBottom w:val="0"/>
      <w:divBdr>
        <w:top w:val="none" w:sz="0" w:space="0" w:color="auto"/>
        <w:left w:val="none" w:sz="0" w:space="0" w:color="auto"/>
        <w:bottom w:val="none" w:sz="0" w:space="0" w:color="auto"/>
        <w:right w:val="none" w:sz="0" w:space="0" w:color="auto"/>
      </w:divBdr>
    </w:div>
    <w:div w:id="1514417383">
      <w:bodyDiv w:val="1"/>
      <w:marLeft w:val="0"/>
      <w:marRight w:val="0"/>
      <w:marTop w:val="0"/>
      <w:marBottom w:val="0"/>
      <w:divBdr>
        <w:top w:val="none" w:sz="0" w:space="0" w:color="auto"/>
        <w:left w:val="none" w:sz="0" w:space="0" w:color="auto"/>
        <w:bottom w:val="none" w:sz="0" w:space="0" w:color="auto"/>
        <w:right w:val="none" w:sz="0" w:space="0" w:color="auto"/>
      </w:divBdr>
    </w:div>
    <w:div w:id="1518076964">
      <w:bodyDiv w:val="1"/>
      <w:marLeft w:val="0"/>
      <w:marRight w:val="0"/>
      <w:marTop w:val="0"/>
      <w:marBottom w:val="0"/>
      <w:divBdr>
        <w:top w:val="none" w:sz="0" w:space="0" w:color="auto"/>
        <w:left w:val="none" w:sz="0" w:space="0" w:color="auto"/>
        <w:bottom w:val="none" w:sz="0" w:space="0" w:color="auto"/>
        <w:right w:val="none" w:sz="0" w:space="0" w:color="auto"/>
      </w:divBdr>
      <w:divsChild>
        <w:div w:id="417749211">
          <w:marLeft w:val="0"/>
          <w:marRight w:val="0"/>
          <w:marTop w:val="0"/>
          <w:marBottom w:val="0"/>
          <w:divBdr>
            <w:top w:val="none" w:sz="0" w:space="0" w:color="auto"/>
            <w:left w:val="none" w:sz="0" w:space="0" w:color="auto"/>
            <w:bottom w:val="none" w:sz="0" w:space="0" w:color="auto"/>
            <w:right w:val="none" w:sz="0" w:space="0" w:color="auto"/>
          </w:divBdr>
        </w:div>
      </w:divsChild>
    </w:div>
    <w:div w:id="1644235085">
      <w:bodyDiv w:val="1"/>
      <w:marLeft w:val="0"/>
      <w:marRight w:val="0"/>
      <w:marTop w:val="0"/>
      <w:marBottom w:val="0"/>
      <w:divBdr>
        <w:top w:val="none" w:sz="0" w:space="0" w:color="auto"/>
        <w:left w:val="none" w:sz="0" w:space="0" w:color="auto"/>
        <w:bottom w:val="none" w:sz="0" w:space="0" w:color="auto"/>
        <w:right w:val="none" w:sz="0" w:space="0" w:color="auto"/>
      </w:divBdr>
    </w:div>
    <w:div w:id="1733191766">
      <w:bodyDiv w:val="1"/>
      <w:marLeft w:val="0"/>
      <w:marRight w:val="0"/>
      <w:marTop w:val="0"/>
      <w:marBottom w:val="0"/>
      <w:divBdr>
        <w:top w:val="none" w:sz="0" w:space="0" w:color="auto"/>
        <w:left w:val="none" w:sz="0" w:space="0" w:color="auto"/>
        <w:bottom w:val="none" w:sz="0" w:space="0" w:color="auto"/>
        <w:right w:val="none" w:sz="0" w:space="0" w:color="auto"/>
      </w:divBdr>
    </w:div>
    <w:div w:id="21071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espectador.com/economia/como-va-colombia-en-desarrollo-tecnologico-articulo-7252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p.gov.co/programas/desarrollo-social/Paginas/desarrollo-social.aspx" TargetMode="External"/><Relationship Id="rId5" Type="http://schemas.openxmlformats.org/officeDocument/2006/relationships/hyperlink" Target="https://www.eltiempo.com/tecnosfera/novedades-tecnologia/impuestos-en-el-sector-tic-tras-reforma-tributaria-310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2009</Words>
  <Characters>11054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Jose Del Campo Criollo</dc:creator>
  <cp:keywords/>
  <dc:description/>
  <cp:lastModifiedBy>Santiago Jose Del Campo Criollo</cp:lastModifiedBy>
  <cp:revision>9</cp:revision>
  <dcterms:created xsi:type="dcterms:W3CDTF">2018-10-22T04:05:00Z</dcterms:created>
  <dcterms:modified xsi:type="dcterms:W3CDTF">2018-10-22T17:09:00Z</dcterms:modified>
</cp:coreProperties>
</file>