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 to Manipulate a New Object</w:t>
      </w:r>
      <w:r>
        <w:br/>
      </w:r>
      <w:r>
        <w:t xml:space="preserve">from Action-Free Videos</w:t>
      </w:r>
    </w:p>
    <w:p>
      <w:pPr>
        <w:pStyle w:val="Author"/>
      </w:pPr>
      <w:r>
        <w:t xml:space="preserve">Group 9</w:t>
      </w:r>
      <w:r>
        <w:br/>
      </w:r>
      <w:r>
        <w:t xml:space="preserve">McGill University</w:t>
      </w:r>
      <w:r>
        <w:br/>
      </w:r>
      <w:r>
        <w:t xml:space="preserve">ECSE 552 — Project proposal</w:t>
      </w:r>
    </w:p>
    <w:p>
      <w:pPr>
        <w:pStyle w:val="Heading1"/>
      </w:pPr>
      <w:r>
        <w:t xml:space="preserve">Background</w:t>
      </w:r>
    </w:p>
    <w:p>
      <w:pPr>
        <w:pStyle w:val="Heading4"/>
      </w:pPr>
      <w:r>
        <w:t xml:space="preserve">Application.</w:t>
      </w:r>
    </w:p>
    <w:p>
      <w:pPr>
        <w:pStyle w:val="FirstParagraph"/>
      </w:pPr>
      <w:r>
        <w:t xml:space="preserve">We focus on teaching a robot arm that already manipulates one object to handle a</w:t>
      </w:r>
      <w:r>
        <w:t xml:space="preserve"> </w:t>
      </w:r>
      <w:r>
        <w:t xml:space="preserve">new one from videos alone, without recording new motor commands. This matters for</w:t>
      </w:r>
      <w:r>
        <w:t xml:space="preserve"> </w:t>
      </w:r>
      <w:r>
        <w:t xml:space="preserve">warehouse and home robots, where new items arrive constantly and teleoperating</w:t>
      </w:r>
      <w:r>
        <w:t xml:space="preserve"> </w:t>
      </w:r>
      <w:r>
        <w:t xml:space="preserve">each one is impractical. We study this in simulation with OCBench (UR5e arm,</w:t>
      </w:r>
      <w:r>
        <w:t xml:space="preserve"> </w:t>
      </w:r>
      <w:r>
        <w:t xml:space="preserve">Robotiq gripper)</w:t>
      </w:r>
      <w:r>
        <w:t xml:space="preserve"> </w:t>
      </w:r>
      <w:hyperlink w:anchor="ref_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Heading4"/>
      </w:pPr>
      <w:r>
        <w:t xml:space="preserve">Problem and need.</w:t>
      </w:r>
    </w:p>
    <w:p>
      <w:pPr>
        <w:pStyle w:val="FirstParagraph"/>
      </w:pPr>
      <w:r>
        <w:t xml:space="preserve">Visuomotor policies learn by imitating images paired with the motor commands that</w:t>
      </w:r>
      <w:r>
        <w:t xml:space="preserve"> </w:t>
      </w:r>
      <w:r>
        <w:t xml:space="preserve">produced them. Recording these commands requires teleoperation, which is slow and</w:t>
      </w:r>
      <w:r>
        <w:t xml:space="preserve"> </w:t>
      </w:r>
      <w:r>
        <w:t xml:space="preserve">costly: collecting 76k demonstrations took 50 people a year</w:t>
      </w:r>
      <w:r>
        <w:t xml:space="preserve"> </w:t>
      </w:r>
      <w:hyperlink w:anchor="ref_2">
        <w:r>
          <w:rPr>
            <w:rStyle w:val="Hyperlink"/>
          </w:rPr>
          <w:t xml:space="preserve">[2]</w:t>
        </w:r>
      </w:hyperlink>
      <w:r>
        <w:t xml:space="preserve">. Videos without commands are cheap (e.g., videos of the same robot generated</w:t>
      </w:r>
      <w:r>
        <w:t xml:space="preserve"> </w:t>
      </w:r>
      <w:r>
        <w:t xml:space="preserve">by world models or video generation models</w:t>
      </w:r>
      <w:r>
        <w:t xml:space="preserve"> </w:t>
      </w:r>
      <w:hyperlink w:anchor="ref_3">
        <w:r>
          <w:rPr>
            <w:rStyle w:val="Hyperlink"/>
          </w:rPr>
          <w:t xml:space="preserve">[3]</w:t>
        </w:r>
      </w:hyperlink>
      <w:r>
        <w:t xml:space="preserve">), and inverse dynamics models (IDMs) let a</w:t>
      </w:r>
      <w:r>
        <w:t xml:space="preserve"> </w:t>
      </w:r>
      <w:r>
        <w:t xml:space="preserve">robot learn from them: trained on labeled demonstrations, an IDM infers the</w:t>
      </w:r>
      <w:r>
        <w:t xml:space="preserve"> </w:t>
      </w:r>
      <w:r>
        <w:t xml:space="preserve">command between two consecutive frames and labels videos for imitation</w:t>
      </w:r>
      <w:r>
        <w:t xml:space="preserve"> </w:t>
      </w:r>
      <w:hyperlink w:anchor="ref_4">
        <w:r>
          <w:rPr>
            <w:rStyle w:val="Hyperlink"/>
          </w:rPr>
          <w:t xml:space="preserve">[4]</w:t>
        </w:r>
      </w:hyperlink>
      <w:r>
        <w:t xml:space="preserve">,</w:t>
      </w:r>
      <w:r>
        <w:t xml:space="preserve"> </w:t>
      </w:r>
      <w:hyperlink w:anchor="ref_5">
        <w:r>
          <w:rPr>
            <w:rStyle w:val="Hyperlink"/>
          </w:rPr>
          <w:t xml:space="preserve">[5]</w:t>
        </w:r>
      </w:hyperlink>
      <w:r>
        <w:t xml:space="preserve">, needing few labeled examples</w:t>
      </w:r>
      <w:r>
        <w:t xml:space="preserve"> </w:t>
      </w:r>
      <w:hyperlink w:anchor="ref_6">
        <w:r>
          <w:rPr>
            <w:rStyle w:val="Hyperlink"/>
          </w:rPr>
          <w:t xml:space="preserve">[6]</w:t>
        </w:r>
      </w:hyperlink>
      <w:r>
        <w:t xml:space="preserve">. Our application adds one difficulty:</w:t>
      </w:r>
      <w:r>
        <w:t xml:space="preserve"> </w:t>
      </w:r>
      <w:r>
        <w:t xml:space="preserve">the videos show an object absent from the labeled demonstrations, so the IDM must</w:t>
      </w:r>
      <w:r>
        <w:t xml:space="preserve"> </w:t>
      </w:r>
      <w:r>
        <w:t xml:space="preserve">label images that differ from its training data. Formally, given labeled cube transitions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and unlabeled block videos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, we seek an image-only policy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succeeds on the block under R1–R6, which requires labeling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accurately without block labels.</w:t>
      </w:r>
    </w:p>
    <w:p>
      <w:pPr>
        <w:pStyle w:val="Heading4"/>
      </w:pPr>
      <w:r>
        <w:t xml:space="preserve">Constraints.</w:t>
      </w:r>
    </w:p>
    <w:p>
      <w:pPr>
        <w:pStyle w:val="FirstParagraph"/>
      </w:pPr>
      <w:r>
        <w:t xml:space="preserve">The design must satisfy the requirements below (red values to be agreed).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data are RGB frames only, without actions or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Labeled cube demonstrations, identical for every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TeamNote"/>
              </w:rPr>
              <w:t xml:space="preserve">300</w:t>
            </w:r>
            <w:r>
              <w:t xml:space="preserve"> </w:t>
            </w:r>
            <w:r>
              <w:t xml:space="preserve">demos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sees only images; no simulator state in any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success, as share of the gap from cube-only to oracle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rPr>
                <w:rStyle w:val="TeamNote"/>
              </w:rPr>
              <w:t xml:space="preserve">50%</w:t>
            </w:r>
            <w:r>
              <w:t xml:space="preserve"> </w:t>
            </w:r>
            <w:r>
              <w:t xml:space="preserve">of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in cube success after adding block data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rPr>
                <w:rStyle w:val="TeamNote"/>
              </w:rPr>
              <w:t xml:space="preserve">10</w:t>
            </w:r>
            <w:r>
              <w:t xml:space="preserve"> </w:t>
            </w: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inference per step at</w:t>
            </w:r>
            <w:r>
              <w:t xml:space="preserve"> </w:t>
            </w:r>
            <w:r>
              <w:rPr>
                <w:rStyle w:val="TeamNote"/>
              </w:rPr>
              <w:t xml:space="preserve">10</w:t>
            </w:r>
            <w:r>
              <w:t xml:space="preserve"> Hz (offline IDM exempt)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rPr>
                <w:rStyle w:val="TeamNote"/>
              </w:rPr>
              <w:t xml:space="preserve">100</w:t>
            </w:r>
            <w:r>
              <w:t xml:space="preserve"> ms</w:t>
            </w:r>
          </w:p>
        </w:tc>
      </w:tr>
    </w:tbl>
    <w:p>
      <w:pPr>
        <w:pStyle w:val="Heading1"/>
      </w:pPr>
      <w:r>
        <w:t xml:space="preserve">Aims/Goals</w:t>
      </w:r>
    </w:p>
    <w:p>
      <w:pPr>
        <w:pStyle w:val="Heading4"/>
      </w:pPr>
      <w:r>
        <w:t xml:space="preserve">Goals.</w:t>
      </w:r>
    </w:p>
    <w:p>
      <w:pPr>
        <w:pStyle w:val="FirstParagraph"/>
      </w:pPr>
      <w:r>
        <w:t xml:space="preserve">Train an image-only policy for the block from cube demonstrations and block</w:t>
      </w:r>
      <w:r>
        <w:t xml:space="preserve"> </w:t>
      </w:r>
      <w:r>
        <w:t xml:space="preserve">videos alone. R4 and R5 are the performance targets; R1–R3 and R6 hold by design.</w:t>
      </w:r>
    </w:p>
    <w:p>
      <w:pPr>
        <w:pStyle w:val="Heading4"/>
      </w:pPr>
      <w:r>
        <w:t xml:space="preserve">Scope.</w:t>
      </w:r>
    </w:p>
    <w:p>
      <w:pPr>
        <w:pStyle w:val="FirstParagraph"/>
      </w:pPr>
      <w:r>
        <w:t xml:space="preserve">We use the visual single-block task of OCBench. The source object is its cube; the</w:t>
      </w:r>
      <w:r>
        <w:t xml:space="preserve"> </w:t>
      </w:r>
      <w:r>
        <w:t xml:space="preserve">target is a new elongated block, with adapted expert grasps. Cameras, lighting,</w:t>
      </w:r>
      <w:r>
        <w:t xml:space="preserve"> </w:t>
      </w:r>
      <w:r>
        <w:t xml:space="preserve">goal, and initial positions stay fixed, so the object is the only change. Human</w:t>
      </w:r>
      <w:r>
        <w:t xml:space="preserve"> </w:t>
      </w:r>
      <w:r>
        <w:t xml:space="preserve">videos, real hardware, other shifts, and large pretrained models are out of scope.</w:t>
      </w:r>
    </w:p>
    <w:p>
      <w:pPr>
        <w:pStyle w:val="Heading4"/>
      </w:pPr>
      <w:r>
        <w:t xml:space="preserve">Proposed solution.</w:t>
      </w:r>
    </w:p>
    <w:p>
      <w:pPr>
        <w:pStyle w:val="FirstParagraph"/>
      </w:pPr>
      <w:r>
        <w:t xml:space="preserve">We adapt the IDM to the block before labeling. Since the arm looks the same in</w:t>
      </w:r>
      <w:r>
        <w:t xml:space="preserve"> </w:t>
      </w:r>
      <w:r>
        <w:t xml:space="preserve">both domains and only the object changes, the IDM receives each frame with its</w:t>
      </w:r>
      <w:r>
        <w:t xml:space="preserve"> </w:t>
      </w:r>
      <w:r>
        <w:t xml:space="preserve">difference to the next, emphasizing arm motion, and domain-adversarial training</w:t>
      </w:r>
      <w:r>
        <w:t xml:space="preserve"> </w:t>
      </w:r>
      <w:hyperlink w:anchor="ref_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makes the remaining features indistinguishable between cube</w:t>
      </w:r>
      <w:r>
        <w:t xml:space="preserve"> </w:t>
      </w:r>
      <w:r>
        <w:t xml:space="preserve">and block while they still predict cube commands. The adapted IDM labels the</w:t>
      </w:r>
      <w:r>
        <w:t xml:space="preserve"> </w:t>
      </w:r>
      <w:r>
        <w:t xml:space="preserve">block videos for policy training; we also compare aligning the policy instead.</w:t>
      </w:r>
    </w:p>
    <w:p>
      <w:pPr>
        <w:pStyle w:val="Heading1"/>
      </w:pPr>
      <w:r>
        <w:t xml:space="preserve">Methodology</w:t>
      </w:r>
    </w:p>
    <w:p>
      <w:pPr>
        <w:pStyle w:val="Heading4"/>
      </w:pPr>
      <w:r>
        <w:t xml:space="preserve">Design and implementation.</w:t>
      </w:r>
    </w:p>
    <w:p>
      <w:pPr>
        <w:pStyle w:val="FirstParagraph"/>
      </w:pPr>
      <w:r>
        <w:rPr>
          <w:rStyle w:val="TeamNote"/>
        </w:rPr>
        <w:t xml:space="preserve">[TO WRITE: A5–A6, about 110 words. Architecture of the proposed solution (inputs,</w:t>
      </w:r>
      <w:r>
        <w:rPr>
          <w:rStyle w:val="TeamNote"/>
        </w:rPr>
        <w:t xml:space="preserve"> </w:t>
      </w:r>
      <w:r>
        <w:rPr>
          <w:rStyle w:val="TeamNote"/>
        </w:rPr>
        <w:t xml:space="preserve">outputs, losses), how it is trained, and the tools used.]</w:t>
      </w:r>
    </w:p>
    <w:p>
      <w:pPr>
        <w:pStyle w:val="Heading4"/>
      </w:pPr>
      <w:r>
        <w:t xml:space="preserve">Validation, testing, and evaluation.</w:t>
      </w:r>
    </w:p>
    <w:p>
      <w:pPr>
        <w:pStyle w:val="FirstParagraph"/>
      </w:pPr>
      <w:r>
        <w:rPr>
          <w:rStyle w:val="TeamNote"/>
        </w:rPr>
        <w:t xml:space="preserve">[TO WRITE: A7, about 80 words. Data splits, model selection without block labels,</w:t>
      </w:r>
      <w:r>
        <w:rPr>
          <w:rStyle w:val="TeamNote"/>
        </w:rPr>
        <w:t xml:space="preserve"> </w:t>
      </w:r>
      <w:r>
        <w:rPr>
          <w:rStyle w:val="TeamNote"/>
        </w:rPr>
        <w:t xml:space="preserve">metrics tied to R1–R6, seeds and episodes (agreed: 3 seeds</w:t>
      </w:r>
      <w:r>
        <w:rPr>
          <w:rStyle w:val="TeamNote"/>
        </w:rPr>
        <w:t xml:space="preserve"> </w:t>
      </w:r>
      <m:oMath>
        <m:r>
          <m:rPr>
            <m:sty m:val="p"/>
          </m:rPr>
          <m:t>×</m:t>
        </m:r>
      </m:oMath>
      <w:r>
        <w:rPr>
          <w:rStyle w:val="TeamNote"/>
        </w:rPr>
        <w:t xml:space="preserve"> </w:t>
      </w:r>
      <w:r>
        <w:rPr>
          <w:rStyle w:val="TeamNote"/>
        </w:rPr>
        <w:t xml:space="preserve">100</w:t>
      </w:r>
      <w:r>
        <w:rPr>
          <w:rStyle w:val="TeamNote"/>
        </w:rPr>
        <w:t xml:space="preserve"> </w:t>
      </w:r>
      <w:r>
        <w:rPr>
          <w:rStyle w:val="TeamNote"/>
        </w:rPr>
        <w:t xml:space="preserve">evaluation episodes per method and object, from initial states shared by all</w:t>
      </w:r>
      <w:r>
        <w:rPr>
          <w:rStyle w:val="TeamNote"/>
        </w:rPr>
        <w:t xml:space="preserve"> </w:t>
      </w:r>
      <w:r>
        <w:rPr>
          <w:rStyle w:val="TeamNote"/>
        </w:rPr>
        <w:t xml:space="preserve">methods, fixed before seeing results).]</w:t>
      </w:r>
    </w:p>
    <w:p>
      <w:pPr>
        <w:pStyle w:val="Heading4"/>
      </w:pPr>
      <w:r>
        <w:t xml:space="preserve">Alternatives.</w:t>
      </w:r>
    </w:p>
    <w:p>
      <w:pPr>
        <w:pStyle w:val="FirstParagraph"/>
      </w:pPr>
      <w:r>
        <w:rPr>
          <w:rStyle w:val="TeamNote"/>
        </w:rPr>
        <w:t xml:space="preserve">[TO WRITE: A8, about 100 words. Controls and baselines run on our data, and why the</w:t>
      </w:r>
      <w:r>
        <w:rPr>
          <w:rStyle w:val="TeamNote"/>
        </w:rPr>
        <w:t xml:space="preserve"> </w:t>
      </w:r>
      <w:r>
        <w:rPr>
          <w:rStyle w:val="TeamNote"/>
        </w:rPr>
        <w:t xml:space="preserve">proposed solution could be superior.]</w:t>
      </w:r>
    </w:p>
    <w:p>
      <w:pPr>
        <w:pStyle w:val="Heading1"/>
      </w:pPr>
      <w:r>
        <w:t xml:space="preserve">Feasibility and resources</w:t>
      </w:r>
    </w:p>
    <w:p>
      <w:pPr>
        <w:pStyle w:val="Heading4"/>
      </w:pPr>
      <w:r>
        <w:t xml:space="preserve">Dataset, resources, and plan.</w:t>
      </w:r>
    </w:p>
    <w:p>
      <w:pPr>
        <w:pStyle w:val="FirstParagraph"/>
      </w:pPr>
      <w:r>
        <w:t xml:space="preserve">We generate all data in OCBench on CPU MuJoCo:</w:t>
      </w:r>
      <w:r>
        <w:t xml:space="preserve"> </w:t>
      </w:r>
      <w:r>
        <w:rPr>
          <w:rStyle w:val="TeamNote"/>
        </w:rPr>
        <w:t xml:space="preserve">300</w:t>
      </w:r>
      <w:r>
        <w:t xml:space="preserve"> </w:t>
      </w:r>
      <w:r>
        <w:t xml:space="preserve">labeled cube</w:t>
      </w:r>
      <w:r>
        <w:t xml:space="preserve"> </w:t>
      </w:r>
      <w:r>
        <w:t xml:space="preserve">demonstrations and</w:t>
      </w:r>
      <w:r>
        <w:t xml:space="preserve"> </w:t>
      </w:r>
      <w:r>
        <w:rPr>
          <w:rStyle w:val="TeamNote"/>
        </w:rPr>
        <w:t xml:space="preserve">200</w:t>
      </w:r>
      <w:r>
        <w:t xml:space="preserve"> </w:t>
      </w:r>
      <w:r>
        <w:t xml:space="preserve">block videos, with true block actions stored only for</w:t>
      </w:r>
      <w:r>
        <w:t xml:space="preserve"> </w:t>
      </w:r>
      <w:r>
        <w:t xml:space="preserve">evaluation; no licensing or ethics constraints apply. Training needs one GPU</w:t>
      </w:r>
      <w:r>
        <w:t xml:space="preserve"> </w:t>
      </w:r>
      <w:r>
        <w:rPr>
          <w:rStyle w:val="TeamNote"/>
        </w:rPr>
        <w:t xml:space="preserve">[TEAM: source to confirm]</w:t>
      </w:r>
      <w:r>
        <w:t xml:space="preserve">, about</w:t>
      </w:r>
      <w:r>
        <w:t xml:space="preserve"> </w:t>
      </w:r>
      <w:r>
        <w:rPr>
          <w:rStyle w:val="TeamNote"/>
        </w:rPr>
        <w:t xml:space="preserve">4</w:t>
      </w:r>
      <w:r>
        <w:t xml:space="preserve"> </w:t>
      </w:r>
      <w:r>
        <w:t xml:space="preserve">GPU-hours per run and</w:t>
      </w:r>
      <w:r>
        <w:t xml:space="preserve"> </w:t>
      </w:r>
      <w:r>
        <w:rPr>
          <w:rStyle w:val="TeamNote"/>
        </w:rPr>
        <w:t xml:space="preserve">100</w:t>
      </w:r>
      <w:r>
        <w:t xml:space="preserve"> </w:t>
      </w:r>
      <w:r>
        <w:t xml:space="preserve">in</w:t>
      </w:r>
      <w:r>
        <w:t xml:space="preserve"> </w:t>
      </w:r>
      <w:r>
        <w:t xml:space="preserve">total. Open-source domain-adaptation and imitation code lowers</w:t>
      </w:r>
      <w:r>
        <w:t xml:space="preserve"> </w:t>
      </w:r>
      <w:r>
        <w:t xml:space="preserve">risk. A pilot by</w:t>
      </w:r>
      <w:r>
        <w:t xml:space="preserve"> </w:t>
      </w:r>
      <w:r>
        <w:rPr>
          <w:rStyle w:val="TeamNote"/>
        </w:rPr>
        <w:t xml:space="preserve">October 21</w:t>
      </w:r>
      <w:r>
        <w:t xml:space="preserve"> </w:t>
      </w:r>
      <w:r>
        <w:t xml:space="preserve">checks the expert, the cube policy’s drop on the block, and the</w:t>
      </w:r>
      <w:r>
        <w:t xml:space="preserve"> </w:t>
      </w:r>
      <w:r>
        <w:t xml:space="preserve">growth of IDM error. Core methods</w:t>
      </w:r>
      <w:r>
        <w:t xml:space="preserve"> </w:t>
      </w:r>
      <w:r>
        <w:t xml:space="preserve">follow by</w:t>
      </w:r>
      <w:r>
        <w:t xml:space="preserve"> </w:t>
      </w:r>
      <w:r>
        <w:rPr>
          <w:rStyle w:val="TeamNote"/>
        </w:rPr>
        <w:t xml:space="preserve">November 1</w:t>
      </w:r>
      <w:r>
        <w:t xml:space="preserve">; evaluation by</w:t>
      </w:r>
      <w:r>
        <w:t xml:space="preserve"> </w:t>
      </w:r>
      <w:r>
        <w:rPr>
          <w:rStyle w:val="TeamNote"/>
        </w:rPr>
        <w:t xml:space="preserve">November 18</w:t>
      </w:r>
      <w:r>
        <w:t xml:space="preserve">.</w:t>
      </w:r>
    </w:p>
    <w:p>
      <w:pPr>
        <w:pStyle w:val="Heading1"/>
      </w:pPr>
      <w:r>
        <w:t xml:space="preserve">Risk analysis</w:t>
      </w:r>
    </w:p>
    <w:p>
      <w:pPr>
        <w:pStyle w:val="Heading4"/>
      </w:pPr>
      <w:r>
        <w:t xml:space="preserve">Pitfalls and mitigation.</w:t>
      </w:r>
    </w:p>
    <w:p>
      <w:pPr>
        <w:pStyle w:val="FirstParagraph"/>
      </w:pPr>
      <w:r>
        <w:t xml:space="preserve">The shift may be too small to matter, as robot and cameras are unchanged; the</w:t>
      </w:r>
      <w:r>
        <w:t xml:space="preserve"> </w:t>
      </w:r>
      <w:r>
        <w:t xml:space="preserve">pilot measures it, and we can enlarge the change. The block may need actions</w:t>
      </w:r>
      <w:r>
        <w:t xml:space="preserve"> </w:t>
      </w:r>
      <w:r>
        <w:t xml:space="preserve">absent from cube demonstrations; invariant features can then discard information</w:t>
      </w:r>
      <w:r>
        <w:t xml:space="preserve"> </w:t>
      </w:r>
      <w:r>
        <w:t xml:space="preserve">needed to predict them</w:t>
      </w:r>
      <w:r>
        <w:t xml:space="preserve"> </w:t>
      </w:r>
      <w:hyperlink w:anchor="ref_8">
        <w:r>
          <w:rPr>
            <w:rStyle w:val="Hyperlink"/>
          </w:rPr>
          <w:t xml:space="preserve">[8]</w:t>
        </w:r>
      </w:hyperlink>
      <w:r>
        <w:t xml:space="preserve">, which per-component errors will</w:t>
      </w:r>
      <w:r>
        <w:t xml:space="preserve"> </w:t>
      </w:r>
      <w:r>
        <w:t xml:space="preserve">expose. Closed-loop failure is mitigated by chunking; expert failure on the</w:t>
      </w:r>
      <w:r>
        <w:t xml:space="preserve"> </w:t>
      </w:r>
      <w:r>
        <w:t xml:space="preserve">block, by shortening it. If alignment hurts, we report negative transfer. If time runs short, optional</w:t>
      </w:r>
      <w:r>
        <w:t xml:space="preserve"> </w:t>
      </w:r>
      <w:r>
        <w:t xml:space="preserve">baselines go first; the core comparison (cube-only policy, unadapted IDM, our</w:t>
      </w:r>
      <w:r>
        <w:t xml:space="preserve"> </w:t>
      </w:r>
      <w:r>
        <w:t xml:space="preserve">method, reference) stays.</w:t>
      </w:r>
    </w:p>
    <w:p>
      <w:pPr>
        <w:pStyle w:val="Heading1"/>
      </w:pPr>
      <w:r>
        <w:t xml:space="preserve">Role of group members</w:t>
      </w:r>
    </w:p>
    <w:p>
      <w:pPr>
        <w:pStyle w:val="FirstParagraph"/>
      </w:pPr>
      <w:r>
        <w:t xml:space="preserve">All members collaborate and review the report.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TeamName"/>
              </w:rPr>
              <w:t xml:space="preserve">MEMBER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and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model, expert grasps, data generation, splits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TeamName"/>
              </w:rPr>
              <w:t xml:space="preserve">MEMBER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IDM and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IDM, adaptation method, pseudo-label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TeamName"/>
              </w:rPr>
              <w:t xml:space="preserve">MEMBER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and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Policy, controls, alternative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TeamName"/>
              </w:rPr>
              <w:t xml:space="preserve">MEMBER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and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Rollouts, statistics, requirement table, figures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Generative-AI disclosure.</w:t>
      </w:r>
      <w:r>
        <w:t xml:space="preserve"> </w:t>
      </w:r>
      <w:r>
        <w:t xml:space="preserve">Codex (OpenAI) and Claude Code</w:t>
      </w:r>
      <w:r>
        <w:t xml:space="preserve"> </w:t>
      </w:r>
      <w:r>
        <w:t xml:space="preserve">(Anthropic) assisted with literature search, bibliography formatting, document</w:t>
      </w:r>
      <w:r>
        <w:t xml:space="preserve"> </w:t>
      </w:r>
      <w:r>
        <w:t xml:space="preserve">structure, and prose. We used them to survey recent work and to format the</w:t>
      </w:r>
      <w:r>
        <w:t xml:space="preserve"> </w:t>
      </w:r>
      <w:r>
        <w:t xml:space="preserve">document; the team revised all text and verified every claim and citation against</w:t>
      </w:r>
      <w:r>
        <w:t xml:space="preserve"> </w:t>
      </w:r>
      <w:r>
        <w:t xml:space="preserve">the original sources.</w:t>
      </w:r>
    </w:p>
    <w:p>
      <w:pPr>
        <w:pStyle w:val="Heading1"/>
      </w:pPr>
      <w:r>
        <w:t xml:space="preserve">References</w:t>
      </w:r>
    </w:p>
    <w:bookmarkStart w:id="28" w:name="ref_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Park and S. Levine,</w:t>
      </w:r>
      <w:r>
        <w:t xml:space="preserve"> </w:t>
      </w:r>
      <w:r>
        <w:t xml:space="preserve">“Behavioral cloning mystery.”</w:t>
      </w:r>
      <w:r>
        <w:t xml:space="preserve"> </w:t>
      </w:r>
      <w:r>
        <w:t xml:space="preserve">arXiv preprint arXiv:2610.07056, 2026. Available:</w:t>
      </w:r>
      <w:r>
        <w:t xml:space="preserve"> </w:t>
      </w:r>
      <w:hyperlink r:id="rId27">
        <w:r>
          <w:rPr>
            <w:rStyle w:val="Hyperlink"/>
          </w:rPr>
          <w:t xml:space="preserve">https://arxiv.org/abs/2610.07056</w:t>
        </w:r>
      </w:hyperlink>
    </w:p>
    <w:bookmarkEnd w:id="28"/>
    <w:bookmarkStart w:id="30" w:name="ref_2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Khazatsky, K. Pertsch, S. Nair,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DROID</w:t>
      </w:r>
      <w:r>
        <w:t xml:space="preserve">: A large-scale in-the-wild robot manipulation dataset,”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Robotics: Science and systems (RSS)</w:t>
      </w:r>
      <w:r>
        <w:t xml:space="preserve">, 2024. Available:</w:t>
      </w:r>
      <w:r>
        <w:t xml:space="preserve"> </w:t>
      </w:r>
      <w:hyperlink r:id="rId29">
        <w:r>
          <w:rPr>
            <w:rStyle w:val="Hyperlink"/>
          </w:rPr>
          <w:t xml:space="preserve">https://arxiv.org/abs/2403.12945</w:t>
        </w:r>
      </w:hyperlink>
    </w:p>
    <w:bookmarkEnd w:id="30"/>
    <w:bookmarkStart w:id="32" w:name="ref_3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Jang, S. Ye, Z. Lin, J. Xiang, J. Bjorck,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DreamGen</w:t>
      </w:r>
      <w:r>
        <w:t xml:space="preserve">: Unlocking generalization in robot learning through video world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Conference on robot learning (CoRL)</w:t>
      </w:r>
      <w:r>
        <w:t xml:space="preserve">, in Proceedings of machine learning research, vol. 305. 2025, pp. 5170–5194. Available:</w:t>
      </w:r>
      <w:r>
        <w:t xml:space="preserve"> </w:t>
      </w:r>
      <w:hyperlink r:id="rId31">
        <w:r>
          <w:rPr>
            <w:rStyle w:val="Hyperlink"/>
          </w:rPr>
          <w:t xml:space="preserve">https://arxiv.org/abs/2505.12705</w:t>
        </w:r>
      </w:hyperlink>
    </w:p>
    <w:bookmarkEnd w:id="32"/>
    <w:bookmarkStart w:id="33" w:name="ref_4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F. Torabi, G. Warnell, and P. Stone,</w:t>
      </w:r>
      <w:r>
        <w:t xml:space="preserve"> </w:t>
      </w:r>
      <w:r>
        <w:t xml:space="preserve">“Behavioral cloning from observation,”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international joint conference on artificial intelligence</w:t>
      </w:r>
      <w:r>
        <w:t xml:space="preserve">, 2018.</w:t>
      </w:r>
    </w:p>
    <w:bookmarkEnd w:id="33"/>
    <w:bookmarkStart w:id="35" w:name="ref_5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Baker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“Video</w:t>
      </w:r>
      <w:r>
        <w:t xml:space="preserve"> </w:t>
      </w:r>
      <w:r>
        <w:t xml:space="preserve">PreTraining</w:t>
      </w:r>
      <w:r>
        <w:t xml:space="preserve"> </w:t>
      </w:r>
      <w:r>
        <w:t xml:space="preserve">(</w:t>
      </w:r>
      <w:r>
        <w:t xml:space="preserve">VPT</w:t>
      </w:r>
      <w:r>
        <w:t xml:space="preserve">): Learning to act by watching unlabeled online videos,”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2022. Available:</w:t>
      </w:r>
      <w:r>
        <w:t xml:space="preserve"> </w:t>
      </w:r>
      <w:hyperlink r:id="rId34">
        <w:r>
          <w:rPr>
            <w:rStyle w:val="Hyperlink"/>
          </w:rPr>
          <w:t xml:space="preserve">https://proceedings.neurips.cc/paper_files/paper/2022/hash/9c7008aff45b5d8f0973b23e1a22ada0-Abstract-Conference.html</w:t>
        </w:r>
      </w:hyperlink>
    </w:p>
    <w:bookmarkEnd w:id="35"/>
    <w:bookmarkStart w:id="37" w:name="ref_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Morin, M. Byeon, A. Jolicoeur-Martineau, and S. Lachapelle,</w:t>
      </w:r>
      <w:r>
        <w:t xml:space="preserve"> </w:t>
      </w:r>
      <w:r>
        <w:t xml:space="preserve">“On the sample efficiency of inverse dynamics models for semi-supervised imitation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2026. Available:</w:t>
      </w:r>
      <w:r>
        <w:t xml:space="preserve"> </w:t>
      </w:r>
      <w:hyperlink r:id="rId36">
        <w:r>
          <w:rPr>
            <w:rStyle w:val="Hyperlink"/>
          </w:rPr>
          <w:t xml:space="preserve">https://arxiv.org/abs/2602.02762</w:t>
        </w:r>
      </w:hyperlink>
    </w:p>
    <w:bookmarkEnd w:id="37"/>
    <w:bookmarkStart w:id="38" w:name="ref_7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Y. Ganin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“Domain-adversarial training of neural networks,”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17, no. 59, pp. 1–35, 2016.</w:t>
      </w:r>
    </w:p>
    <w:bookmarkEnd w:id="38"/>
    <w:bookmarkStart w:id="40" w:name="ref_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H. Zhao, R. Tachet des Combes, K. Zhang, and G. J. Gordon,</w:t>
      </w:r>
      <w:r>
        <w:t xml:space="preserve"> </w:t>
      </w:r>
      <w:r>
        <w:t xml:space="preserve">“On learning invariant representations for domain adaptation,”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36th international conference on machine learning</w:t>
      </w:r>
      <w:r>
        <w:t xml:space="preserve">, in Proceedings of machine learning research, vol. 97. 2019. Available:</w:t>
      </w:r>
      <w:r>
        <w:t xml:space="preserve"> </w:t>
      </w:r>
      <w:hyperlink r:id="rId39">
        <w:r>
          <w:rPr>
            <w:rStyle w:val="Hyperlink"/>
          </w:rPr>
          <w:t xml:space="preserve">https://proceedings.mlr.press/v97/zhao19a.html</w:t>
        </w:r>
      </w:hyperlink>
    </w:p>
    <w:bookmarkEnd w:id="40"/>
    <w:sectPr>
      <w:pgSz w:w="12240" w:h="15840"/>
      <w:pgMar w:top="1440" w:right="2160" w:bottom="1440" w:left="21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0"/>
        <w:szCs w:val="20"/>
        <w:lang w:val="en-US"/>
      </w:rPr>
    </w:rPrDefault>
    <w:pPrDefault>
      <w:pPr>
        <w:spacing w:after="8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0" w:after="80"/>
    </w:pPr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jc w:val="both"/>
      <w:spacing w:before="0" w:after="8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180" w:after="60"/>
      <w:contextualSpacing/>
      <w:jc w:val="center"/>
    </w:pPr>
    <w:rPr>
      <w:rFonts w:ascii="Times New Roman" w:hAnsi="Times New Roman" w:eastAsia="Times New Roman" w:cs="Times New Roman"/>
      <w:b/>
      <w:bCs/>
      <w:color w:val="000000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jc w:val="both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6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6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/>
      <w:outlineLvl w:val="2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60"/>
      <w:outlineLvl w:val="3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0" w:after="8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character" w:customStyle="1" w:styleId="TeamNote">
    <w:name w:val="Team Note"/>
    <w:basedOn w:val="DefaultParagraphFont"/>
    <w:rPr>
      <w:color w:val="FF0000"/>
    </w:rPr>
  </w:style>
  <w:style w:type="character" w:customStyle="1" w:styleId="TeamName">
    <w:name w:val="Team Name"/>
    <w:basedOn w:val="DefaultParagraphFont"/>
    <w:rPr>
      <w:color w:val="E0666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arxiv.org/abs/2403.12945" TargetMode="External" /><Relationship Type="http://schemas.openxmlformats.org/officeDocument/2006/relationships/hyperlink" Id="rId31" Target="https://arxiv.org/abs/2505.12705" TargetMode="External" /><Relationship Type="http://schemas.openxmlformats.org/officeDocument/2006/relationships/hyperlink" Id="rId36" Target="https://arxiv.org/abs/2602.02762" TargetMode="External" /><Relationship Type="http://schemas.openxmlformats.org/officeDocument/2006/relationships/hyperlink" Id="rId27" Target="https://arxiv.org/abs/2610.07056" TargetMode="External" /><Relationship Type="http://schemas.openxmlformats.org/officeDocument/2006/relationships/hyperlink" Id="rId39" Target="https://proceedings.mlr.press/v97/zhao19a.html" TargetMode="External" /><Relationship Type="http://schemas.openxmlformats.org/officeDocument/2006/relationships/hyperlink" Id="rId34" Target="https://proceedings.neurips.cc/paper_files/paper/2022/hash/9c7008aff45b5d8f0973b23e1a22ada0-Abstract-Conferenc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rxiv.org/abs/2403.12945" TargetMode="External" /><Relationship Type="http://schemas.openxmlformats.org/officeDocument/2006/relationships/hyperlink" Id="rId31" Target="https://arxiv.org/abs/2505.12705" TargetMode="External" /><Relationship Type="http://schemas.openxmlformats.org/officeDocument/2006/relationships/hyperlink" Id="rId36" Target="https://arxiv.org/abs/2602.02762" TargetMode="External" /><Relationship Type="http://schemas.openxmlformats.org/officeDocument/2006/relationships/hyperlink" Id="rId27" Target="https://arxiv.org/abs/2610.07056" TargetMode="External" /><Relationship Type="http://schemas.openxmlformats.org/officeDocument/2006/relationships/hyperlink" Id="rId39" Target="https://proceedings.mlr.press/v97/zhao19a.html" TargetMode="External" /><Relationship Type="http://schemas.openxmlformats.org/officeDocument/2006/relationships/hyperlink" Id="rId34" Target="https://proceedings.neurips.cc/paper_files/paper/2022/hash/9c7008aff45b5d8f0973b23e1a22ada0-Abstract-Conferenc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to Manipulate a New Object from Action-Free Videos</dc:title>
  <dc:creator>Group 9 McGill University ECSE 552 — Project proposal</dc:creator>
  <cp:keywords/>
  <dcterms:created xsi:type="dcterms:W3CDTF">2026-10-09T03:38:36Z</dcterms:created>
  <dcterms:modified xsi:type="dcterms:W3CDTF">2026-10-09T03:38:36Z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../tools/ieee.csl</vt:lpwstr>
  </property>
  <property fmtid="{D5CDD505-2E9C-101B-9397-08002B2CF9AE}" pid="4" name="link-bibliography">
    <vt:lpwstr>True</vt:lpwstr>
  </property>
  <property fmtid="{D5CDD505-2E9C-101B-9397-08002B2CF9AE}" pid="5" name="link-citations">
    <vt:lpwstr>True</vt:lpwstr>
  </property>
  <property fmtid="{D5CDD505-2E9C-101B-9397-08002B2CF9AE}" pid="6" name="reference-section-title">
    <vt:lpwstr>References</vt:lpwstr>
  </property>
</Properties>
</file>