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 to Manipulate a New Object</w:t>
      </w:r>
      <w:r>
        <w:br/>
      </w:r>
      <w:r>
        <w:t xml:space="preserve">from Action-Free Videos</w:t>
      </w:r>
    </w:p>
    <w:p>
      <w:pPr>
        <w:pStyle w:val="Author"/>
      </w:pPr>
      <w:r>
        <w:t xml:space="preserve">Group 9</w:t>
      </w:r>
      <w:r>
        <w:br/>
      </w:r>
      <w:r>
        <w:t xml:space="preserve">McGill University</w:t>
      </w:r>
      <w:r>
        <w:br/>
      </w:r>
      <w:r>
        <w:t xml:space="preserve">ECSE 552 — Project proposal</w:t>
      </w:r>
    </w:p>
    <w:p>
      <w:pPr>
        <w:pStyle w:val="Heading1"/>
      </w:pPr>
      <w:r>
        <w:t xml:space="preserve">Background</w:t>
      </w:r>
    </w:p>
    <w:p>
      <w:pPr>
        <w:pStyle w:val="FirstParagraph"/>
      </w:pPr>
      <w:r>
        <w:rPr>
          <w:b/>
          <w:bCs/>
        </w:rPr>
        <w:t xml:space="preserve">Application.</w:t>
      </w:r>
      <w:r>
        <w:t xml:space="preserve"> </w:t>
      </w:r>
      <w:r>
        <w:t xml:space="preserve">We teach a robot arm that manipulates one object to handle new ones from videos</w:t>
      </w:r>
      <w:r>
        <w:t xml:space="preserve"> </w:t>
      </w:r>
      <w:r>
        <w:t xml:space="preserve">alone: warehouse and home robots meet new items constantly, and recording paired</w:t>
      </w:r>
      <w:r>
        <w:t xml:space="preserve"> </w:t>
      </w:r>
      <w:r>
        <w:t xml:space="preserve">images and motor commands for each requires operating the robot. We study this in</w:t>
      </w:r>
      <w:r>
        <w:t xml:space="preserve"> </w:t>
      </w:r>
      <w:r>
        <w:t xml:space="preserve">OCBench simulation (UR5e arm, Robotiq gripper)</w:t>
      </w:r>
      <w:r>
        <w:t xml:space="preserve"> </w:t>
      </w:r>
      <w:hyperlink w:anchor="ref_1">
        <w:r>
          <w:rPr>
            <w:rStyle w:val="Hyperlink"/>
          </w:rPr>
          <w:t xml:space="preserve">[1]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Problem and need.</w:t>
      </w:r>
      <w:r>
        <w:t xml:space="preserve"> </w:t>
      </w:r>
      <w:r>
        <w:t xml:space="preserve">Visuomotor policies imitate images paired with motor commands, and such pairs are</w:t>
      </w:r>
      <w:r>
        <w:t xml:space="preserve"> </w:t>
      </w:r>
      <w:r>
        <w:t xml:space="preserve">costly: 76k teleoperated demonstrations took 50 people a year</w:t>
      </w:r>
      <w:r>
        <w:t xml:space="preserve"> </w:t>
      </w:r>
      <w:hyperlink w:anchor="ref_2">
        <w:r>
          <w:rPr>
            <w:rStyle w:val="Hyperlink"/>
          </w:rPr>
          <w:t xml:space="preserve">[2]</w:t>
        </w:r>
      </w:hyperlink>
      <w:r>
        <w:t xml:space="preserve">. Videos without commands are cheap (e.g., generated by</w:t>
      </w:r>
      <w:r>
        <w:t xml:space="preserve"> </w:t>
      </w:r>
      <w:r>
        <w:t xml:space="preserve">world models or video generation models</w:t>
      </w:r>
      <w:r>
        <w:t xml:space="preserve"> </w:t>
      </w:r>
      <w:hyperlink w:anchor="ref_3">
        <w:r>
          <w:rPr>
            <w:rStyle w:val="Hyperlink"/>
          </w:rPr>
          <w:t xml:space="preserve">[3]</w:t>
        </w:r>
      </w:hyperlink>
      <w:r>
        <w:t xml:space="preserve">). An inverse</w:t>
      </w:r>
      <w:r>
        <w:t xml:space="preserve"> </w:t>
      </w:r>
      <w:r>
        <w:t xml:space="preserve">dynamics model (IDM), trained on few labeled demonstrations</w:t>
      </w:r>
      <w:r>
        <w:t xml:space="preserve"> </w:t>
      </w:r>
      <w:hyperlink w:anchor="ref_4">
        <w:r>
          <w:rPr>
            <w:rStyle w:val="Hyperlink"/>
          </w:rPr>
          <w:t xml:space="preserve">[4]</w:t>
        </w:r>
      </w:hyperlink>
      <w:r>
        <w:t xml:space="preserve">, infers the command between consecutive frames and</w:t>
      </w:r>
      <w:r>
        <w:t xml:space="preserve"> </w:t>
      </w:r>
      <w:r>
        <w:t xml:space="preserve">labels such videos for imitation</w:t>
      </w:r>
      <w:r>
        <w:t xml:space="preserve"> </w:t>
      </w:r>
      <w:hyperlink w:anchor="ref_5">
        <w:r>
          <w:rPr>
            <w:rStyle w:val="Hyperlink"/>
          </w:rPr>
          <w:t xml:space="preserve">[5]</w:t>
        </w:r>
      </w:hyperlink>
      <w:r>
        <w:t xml:space="preserve">,</w:t>
      </w:r>
      <w:r>
        <w:t xml:space="preserve"> </w:t>
      </w:r>
      <w:hyperlink w:anchor="ref_6">
        <w:r>
          <w:rPr>
            <w:rStyle w:val="Hyperlink"/>
          </w:rPr>
          <w:t xml:space="preserve">[6]</w:t>
        </w:r>
      </w:hyperlink>
      <w:r>
        <w:t xml:space="preserve">. Here the target videos show new objects, unlike the IDM’s training data. Formally, given labeled cube transitions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and unlabeled target videos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, we seek an image-only policy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succeeds on the new objects under R1–R6.</w:t>
      </w:r>
    </w:p>
    <w:p>
      <w:pPr>
        <w:pStyle w:val="BodyText"/>
      </w:pPr>
      <w:r>
        <w:rPr>
          <w:b/>
          <w:bCs/>
        </w:rPr>
        <w:t xml:space="preserve">Constraints.</w:t>
      </w:r>
      <w:r>
        <w:t xml:space="preserve"> </w:t>
      </w:r>
      <w:r>
        <w:rPr>
          <w:rStyle w:val="TeamNote"/>
        </w:rPr>
        <w:t xml:space="preserve">Red values are still to be agreed.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3"/>
        <w:gridCol w:w="1227"/>
        <w:gridCol w:w="4666"/>
        <w:gridCol w:w="1412"/>
      </w:tblGrid>
      <w:tr>
        <w:trPr>
          <w:tblHeader w:val="on"/>
        </w:trPr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data are RGB frames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target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Labeled cube demonstrations, identical for every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TeamNote"/>
              </w:rPr>
              <w:t xml:space="preserve">300</w:t>
            </w:r>
            <w:r>
              <w:t xml:space="preserve"> </w:t>
            </w:r>
            <w:r>
              <w:t xml:space="preserve">demos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simulator state in any learned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gain over the cube-only policy on each target, as a fraction of the oracle’s gain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50%</w:t>
            </w:r>
            <w:r>
              <w:t xml:space="preserve"> </w:t>
            </w:r>
            <w:r>
              <w:t xml:space="preserve">of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in cube success after adding target data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10</w:t>
            </w:r>
            <w:r>
              <w:t xml:space="preserve"> </w:t>
            </w: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inference per call, within one 50 Hz control step (IDM offline)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rPr>
                <w:rStyle w:val="TeamNote"/>
              </w:rPr>
              <w:t xml:space="preserve">20</w:t>
            </w:r>
            <w:r>
              <w:t xml:space="preserve"> ms</w:t>
            </w:r>
          </w:p>
        </w:tc>
      </w:tr>
    </w:tbl>
    <w:p>
      <w:pPr>
        <w:pStyle w:val="Heading1"/>
      </w:pPr>
      <w:r>
        <w:t xml:space="preserve">Aims/Goals</w:t>
      </w:r>
    </w:p>
    <w:p>
      <w:pPr>
        <w:pStyle w:val="FirstParagraph"/>
      </w:pPr>
      <w:r>
        <w:rPr>
          <w:b/>
          <w:bCs/>
        </w:rPr>
        <w:t xml:space="preserve">Goals.</w:t>
      </w:r>
      <w:r>
        <w:t xml:space="preserve"> </w:t>
      </w:r>
      <w:r>
        <w:t xml:space="preserve">Meet R4 and R5 on each new object with an image-only policy trained on cube</w:t>
      </w:r>
      <w:r>
        <w:t xml:space="preserve"> </w:t>
      </w:r>
      <w:r>
        <w:t xml:space="preserve">demonstrations and action-free target videos; R1–R3 hold by design and R6 is</w:t>
      </w:r>
      <w:r>
        <w:t xml:space="preserve"> </w:t>
      </w:r>
      <w:r>
        <w:t xml:space="preserve">measured.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We use OCBench’s visual single-block task; the source is its default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t>6</m:t>
        </m:r>
      </m:oMath>
      <w:r>
        <w:t xml:space="preserve"> cm red cube.</w:t>
      </w:r>
      <w:r>
        <w:t xml:space="preserve"> </w:t>
      </w:r>
      <w:r>
        <w:rPr>
          <w:rStyle w:val="TeamReview"/>
        </w:rPr>
        <w:t xml:space="preserve">The targets separate the factors: (A) a</w:t>
      </w:r>
      <w:r>
        <w:rPr>
          <w:rStyle w:val="TeamReview"/>
        </w:rPr>
        <w:t xml:space="preserve"> </w:t>
      </w:r>
      <m:oMath>
        <m:r>
          <m:t>6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t>6</m:t>
        </m:r>
      </m:oMath>
      <w:r>
        <w:rPr>
          <w:rStyle w:val="TeamReview"/>
        </w:rPr>
        <w:t xml:space="preserve"> cm blue cube (appearance only), (B) a</w:t>
      </w:r>
      <w:r>
        <w:rPr>
          <w:rStyle w:val="TeamReview"/>
        </w:rPr>
        <w:t xml:space="preserve"> </w:t>
      </w:r>
      <m:oMath>
        <m:r>
          <m:t>9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t>6</m:t>
        </m:r>
      </m:oMath>
      <w:r>
        <w:rPr>
          <w:rStyle w:val="TeamReview"/>
        </w:rPr>
        <w:t xml:space="preserve"> cm red block (geometry, same grasp width), (C) a</w:t>
      </w:r>
      <w:r>
        <w:rPr>
          <w:rStyle w:val="TeamReview"/>
        </w:rPr>
        <w:t xml:space="preserve"> </w:t>
      </w:r>
      <m:oMath>
        <m:r>
          <m:t>9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×</m:t>
        </m:r>
        <m:r>
          <m:t>6</m:t>
        </m:r>
      </m:oMath>
      <w:r>
        <w:rPr>
          <w:rStyle w:val="TeamReview"/>
        </w:rPr>
        <w:t xml:space="preserve"> cm red block (geometry and grasp width), and, optionally,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(D) a</w:t>
      </w:r>
      <w:r>
        <w:rPr>
          <w:rStyle w:val="TeamReview"/>
        </w:rPr>
        <w:t xml:space="preserve"> </w:t>
      </w:r>
      <m:oMath>
        <m:r>
          <m:t>9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×</m:t>
        </m:r>
        <m:r>
          <m:t>6</m:t>
        </m:r>
      </m:oMath>
      <w:r>
        <w:rPr>
          <w:rStyle w:val="TeamReview"/>
        </w:rPr>
        <w:t xml:space="preserve"> cm blue block (all combined).</w:t>
      </w:r>
      <w:r>
        <w:t xml:space="preserve"> </w:t>
      </w:r>
      <w:r>
        <w:t xml:space="preserve">Expert grasps are</w:t>
      </w:r>
      <w:r>
        <w:t xml:space="preserve"> </w:t>
      </w:r>
      <w:r>
        <w:t xml:space="preserve">adapted to each; robot, cameras, lighting, and task stay fixed. Human videos,</w:t>
      </w:r>
      <w:r>
        <w:t xml:space="preserve"> </w:t>
      </w:r>
      <w:r>
        <w:t xml:space="preserve">real hardware, and large pretrained models are out of scope.</w:t>
      </w:r>
    </w:p>
    <w:p>
      <w:pPr>
        <w:pStyle w:val="BodyText"/>
      </w:pPr>
      <w:r>
        <w:rPr>
          <w:b/>
          <w:bCs/>
        </w:rPr>
        <w:t xml:space="preserve">Proposed solution.</w:t>
      </w:r>
      <w:r>
        <w:t xml:space="preserve"> </w:t>
      </w:r>
      <w:r>
        <w:t xml:space="preserve">We adapt the IDM to each target before labeling its videos. The IDM sees frame differences, which emphasize the unchanged arm, and</w:t>
      </w:r>
      <w:r>
        <w:t xml:space="preserve"> </w:t>
      </w:r>
      <w:r>
        <w:t xml:space="preserve">domain-adversarial training</w:t>
      </w:r>
      <w:r>
        <w:t xml:space="preserve"> </w:t>
      </w:r>
      <w:hyperlink w:anchor="ref_7">
        <w:r>
          <w:rPr>
            <w:rStyle w:val="Hyperlink"/>
          </w:rPr>
          <w:t xml:space="preserve">[7]</w:t>
        </w:r>
      </w:hyperlink>
      <w:r>
        <w:t xml:space="preserve"> </w:t>
      </w:r>
      <w:r>
        <w:t xml:space="preserve">makes its features</w:t>
      </w:r>
      <w:r>
        <w:t xml:space="preserve"> </w:t>
      </w:r>
      <w:r>
        <w:t xml:space="preserve">indistinguishable between cube and target frames while still predicting cube</w:t>
      </w:r>
      <w:r>
        <w:t xml:space="preserve"> </w:t>
      </w:r>
      <w:r>
        <w:t xml:space="preserve">actions. One policy per target then trains on cube demonstrations plus pseudo-labeled</w:t>
      </w:r>
      <w:r>
        <w:t xml:space="preserve"> </w:t>
      </w:r>
      <w:r>
        <w:t xml:space="preserve">target videos.</w:t>
      </w:r>
      <w:r>
        <w:t xml:space="preserve"> </w:t>
      </w:r>
      <w:r>
        <w:rPr>
          <w:rStyle w:val="TeamReview"/>
        </w:rPr>
        <w:t xml:space="preserve">Adaptation should help most on A, whose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actions match the cube’s.</w:t>
      </w:r>
    </w:p>
    <w:p>
      <w:pPr>
        <w:pStyle w:val="Heading1"/>
      </w:pPr>
      <w:r>
        <w:t xml:space="preserve">Methodology</w:t>
      </w:r>
    </w:p>
    <w:p>
      <w:pPr>
        <w:pStyle w:val="FirstParagraph"/>
      </w:pPr>
      <w:r>
        <w:rPr>
          <w:b/>
          <w:bCs/>
        </w:rPr>
        <w:t xml:space="preserve">Design and implementation.</w:t>
      </w:r>
      <w:r>
        <w:t xml:space="preserve"> </w:t>
      </w:r>
      <w:r>
        <w:rPr>
          <w:rStyle w:val="TeamReview"/>
        </w:rPr>
        <w:t xml:space="preserve">Observations are</w:t>
      </w:r>
      <w:r>
        <w:rPr>
          <w:rStyle w:val="TeamReview"/>
        </w:rPr>
        <w:t xml:space="preserve"> </w:t>
      </w:r>
      <m:oMath>
        <m:r>
          <m:t>224</m:t>
        </m:r>
        <m:r>
          <m:rPr>
            <m:sty m:val="p"/>
          </m:rPr>
          <m:t>×</m:t>
        </m:r>
        <m:r>
          <m:t>224</m:t>
        </m:r>
      </m:oMath>
      <w:r>
        <w:rPr>
          <w:rStyle w:val="TeamReview"/>
        </w:rPr>
        <w:t xml:space="preserve"> </w:t>
      </w:r>
      <w:r>
        <w:rPr>
          <w:rStyle w:val="TeamReview"/>
        </w:rPr>
        <w:t xml:space="preserve">images from the front, side, and wrist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cameras; actions are seven normalized joint and gripper increments at 50 Hz. The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IDM’s convolutional encoder, shared across cameras, embeds</w:t>
      </w:r>
      <w:r>
        <w:rPr>
          <w:rStyle w:val="TeamReview"/>
        </w:rP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rPr>
          <w:rStyle w:val="TeamReview"/>
        </w:rPr>
        <w:t xml:space="preserve">,</w:t>
      </w:r>
      <w:r>
        <w:rPr>
          <w:rStyle w:val="TeamReview"/>
        </w:rP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Style w:val="TeamReview"/>
        </w:rPr>
        <w:t xml:space="preserve">, and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their difference, and an MLP regresses</w:t>
      </w:r>
      <w:r>
        <w:rPr>
          <w:rStyle w:val="TeamReview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Style w:val="TeamReview"/>
        </w:rPr>
        <w:t xml:space="preserve"> </w:t>
      </w:r>
      <w:r>
        <w:rPr>
          <w:rStyle w:val="TeamReview"/>
        </w:rPr>
        <w:t xml:space="preserve">with mean squared error. A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discriminator classifies these features as cube or target (binary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cross-entropy); a gradient reversal layer returns its gradient to the encoder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with flipped sign, scaled by a weight</w:t>
      </w:r>
      <w:r>
        <w:rPr>
          <w:rStyle w:val="TeamReview"/>
        </w:rPr>
        <w:t xml:space="preserve"> </w:t>
      </w:r>
      <m:oMath>
        <m:r>
          <m:t>λ</m:t>
        </m:r>
      </m:oMath>
      <w:r>
        <w:rPr>
          <w:rStyle w:val="TeamReview"/>
        </w:rPr>
        <w:t xml:space="preserve"> </w:t>
      </w:r>
      <w:r>
        <w:rPr>
          <w:rStyle w:val="TeamReview"/>
        </w:rPr>
        <w:t xml:space="preserve">that ramps up as in DANN;</w:t>
      </w:r>
      <w:r>
        <w:rPr>
          <w:rStyle w:val="TeamReview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Style w:val="TeamReview"/>
        </w:rPr>
        <w:t xml:space="preserve"> </w:t>
      </w:r>
      <w:r>
        <w:rPr>
          <w:rStyle w:val="TeamReview"/>
        </w:rPr>
        <w:t xml:space="preserve">gives the unadapted IDM. The policy shares the encoder, takes</w:t>
      </w:r>
      <w:r>
        <w:rPr>
          <w:rStyle w:val="TeamReview"/>
        </w:rP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rPr>
          <w:rStyle w:val="TeamReview"/>
        </w:rPr>
        <w:t xml:space="preserve">,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and is trained with flow matching to predict the next</w:t>
      </w:r>
      <w:r>
        <w:rPr>
          <w:rStyle w:val="TeamReview"/>
        </w:rPr>
        <w:t xml:space="preserve"> </w:t>
      </w:r>
      <w:r>
        <w:rPr>
          <w:rStyle w:val="TeamNote"/>
        </w:rPr>
        <w:t xml:space="preserve">25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actions, executed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open loop as in OCBench</w:t>
      </w:r>
      <w:r>
        <w:rPr>
          <w:rStyle w:val="TeamReview"/>
        </w:rPr>
        <w:t xml:space="preserve"> </w:t>
      </w:r>
      <w:hyperlink w:anchor="ref_1">
        <w:r>
          <w:rPr>
            <w:rStyle w:val="Hyperlink"/>
          </w:rPr>
          <w:t xml:space="preserve">[1]</w:t>
        </w:r>
      </w:hyperlink>
      <w:r>
        <w:rPr>
          <w:rStyle w:val="TeamReview"/>
        </w:rPr>
        <w:t xml:space="preserve">. All methods share encoder, data, and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budget (PyTorch).</w:t>
      </w:r>
    </w:p>
    <w:p>
      <w:pPr>
        <w:pStyle w:val="BodyText"/>
      </w:pPr>
      <w:r>
        <w:rPr>
          <w:b/>
          <w:bCs/>
        </w:rPr>
        <w:t xml:space="preserve">Validation, testing, and evaluation.</w:t>
      </w:r>
      <w:r>
        <w:t xml:space="preserve"> </w:t>
      </w:r>
      <w:r>
        <w:rPr>
          <w:rStyle w:val="TeamReview"/>
        </w:rPr>
        <w:t xml:space="preserve">Splits are made by episode. Target actions never select models: the</w:t>
      </w:r>
      <w:r>
        <w:rPr>
          <w:rStyle w:val="TeamReview"/>
        </w:rPr>
        <w:t xml:space="preserve"> </w:t>
      </w:r>
      <m:oMath>
        <m:r>
          <m:t>λ</m:t>
        </m:r>
      </m:oMath>
      <w:r>
        <w:rPr>
          <w:rStyle w:val="TeamReview"/>
        </w:rPr>
        <w:t xml:space="preserve"> </w:t>
      </w:r>
      <w:r>
        <w:rPr>
          <w:rStyle w:val="TeamReview"/>
        </w:rPr>
        <w:t xml:space="preserve">schedule is fixed in advance, IDM checkpoints follow source validation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error, and policies train for a fixed number of steps. We report target success,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cube retention, per-component IDM error, and latency over three seeds and 100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episodes per method and object, with identical initial states.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rPr>
          <w:rStyle w:val="TeamReview"/>
        </w:rPr>
        <w:t xml:space="preserve">We compare (a) a cube-only behavioral cloning policy, (b) an unadapted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IDM, (c) our adversarial IDM, and (d) an oracle trained with true target actions;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optionally, (e) applies the alignment to the policy encoder instead. (b) versus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(c) isolates adaptation; (a) and (d) anchor R4.</w:t>
      </w:r>
    </w:p>
    <w:p>
      <w:pPr>
        <w:pStyle w:val="Heading1"/>
      </w:pPr>
      <w:r>
        <w:t xml:space="preserve">Feasibility and resources</w:t>
      </w:r>
    </w:p>
    <w:p>
      <w:pPr>
        <w:pStyle w:val="FirstParagraph"/>
      </w:pPr>
      <w:r>
        <w:rPr>
          <w:b/>
          <w:bCs/>
        </w:rPr>
        <w:t xml:space="preserve">Dataset, resources, and plan.</w:t>
      </w:r>
      <w:r>
        <w:t xml:space="preserve"> </w:t>
      </w:r>
      <w:r>
        <w:t xml:space="preserve">We generate all data in OCBench with MuJoCo:</w:t>
      </w:r>
      <w:r>
        <w:t xml:space="preserve"> </w:t>
      </w:r>
      <w:r>
        <w:rPr>
          <w:rStyle w:val="TeamNote"/>
        </w:rPr>
        <w:t xml:space="preserve">300</w:t>
      </w:r>
      <w:r>
        <w:t xml:space="preserve"> </w:t>
      </w:r>
      <w:r>
        <w:t xml:space="preserve">labeled cube demonstrations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TeamNote"/>
        </w:rPr>
        <w:t xml:space="preserve">200</w:t>
      </w:r>
      <w:r>
        <w:t xml:space="preserve"> </w:t>
      </w:r>
      <w:r>
        <w:t xml:space="preserve">action-free videos per target, keeping true target actions only for</w:t>
      </w:r>
      <w:r>
        <w:t xml:space="preserve"> </w:t>
      </w:r>
      <w:r>
        <w:t xml:space="preserve">evaluation and the oracle; no licensing or ethics constraints apply. Training</w:t>
      </w:r>
      <w:r>
        <w:t xml:space="preserve"> </w:t>
      </w:r>
      <w:r>
        <w:t xml:space="preserve">uses one NVIDIA A10G GPU; the pilot estimates compute.</w:t>
      </w:r>
      <w:r>
        <w:t xml:space="preserve"> </w:t>
      </w:r>
      <w:r>
        <w:rPr>
          <w:rStyle w:val="TeamReview"/>
        </w:rPr>
        <w:t xml:space="preserve">A pilot by</w:t>
      </w:r>
      <w:r>
        <w:rPr>
          <w:rStyle w:val="TeamReview"/>
        </w:rPr>
        <w:t xml:space="preserve"> </w:t>
      </w:r>
      <w:r>
        <w:rPr>
          <w:rStyle w:val="TeamNote"/>
        </w:rPr>
        <w:t xml:space="preserve">October 21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checks expert success and, on the cube and each target, the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cube-only policy’s success and the IDM’s error.</w:t>
      </w:r>
      <w:r>
        <w:t xml:space="preserve"> </w:t>
      </w:r>
      <w:r>
        <w:t xml:space="preserve">Core methods follow by</w:t>
      </w:r>
      <w:r>
        <w:t xml:space="preserve"> </w:t>
      </w:r>
      <w:r>
        <w:rPr>
          <w:rStyle w:val="TeamNote"/>
        </w:rPr>
        <w:t xml:space="preserve">November 1</w:t>
      </w:r>
      <w:r>
        <w:t xml:space="preserve">; evaluation by</w:t>
      </w:r>
      <w:r>
        <w:t xml:space="preserve"> </w:t>
      </w:r>
      <w:r>
        <w:rPr>
          <w:rStyle w:val="TeamNote"/>
        </w:rPr>
        <w:t xml:space="preserve">November 18</w:t>
      </w:r>
      <w:r>
        <w:t xml:space="preserve">.</w:t>
      </w:r>
    </w:p>
    <w:p>
      <w:pPr>
        <w:pStyle w:val="Heading1"/>
      </w:pPr>
      <w:r>
        <w:t xml:space="preserve">Risk analysis</w:t>
      </w:r>
    </w:p>
    <w:p>
      <w:pPr>
        <w:pStyle w:val="FirstParagraph"/>
      </w:pPr>
      <w:r>
        <w:rPr>
          <w:b/>
          <w:bCs/>
        </w:rPr>
        <w:t xml:space="preserve">Pitfalls and mitigation.</w:t>
      </w:r>
      <w:r>
        <w:t xml:space="preserve"> </w:t>
      </w:r>
      <w:r>
        <w:rPr>
          <w:rStyle w:val="TeamReview"/>
        </w:rPr>
        <w:t xml:space="preserve">Adversarial training aligns feature distributions, not the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action each feature maps to</w:t>
      </w:r>
      <w:r>
        <w:rPr>
          <w:rStyle w:val="TeamReview"/>
        </w:rPr>
        <w:t xml:space="preserve"> </w:t>
      </w:r>
      <w:hyperlink w:anchor="ref_8">
        <w:r>
          <w:rPr>
            <w:rStyle w:val="Hyperlink"/>
          </w:rPr>
          <w:t xml:space="preserve">[8]</w:t>
        </w:r>
      </w:hyperlink>
      <w:r>
        <w:rPr>
          <w:rStyle w:val="TeamReview"/>
        </w:rPr>
        <w:t xml:space="preserve">; we expect actions to stay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readable from arm motion, which per-component errors will test.</w:t>
      </w:r>
      <w:r>
        <w:t xml:space="preserve"> </w:t>
      </w:r>
      <w:r>
        <w:t xml:space="preserve">If the expert</w:t>
      </w:r>
      <w:r>
        <w:t xml:space="preserve"> </w:t>
      </w:r>
      <w:r>
        <w:t xml:space="preserve">fails on a target, we adjust the object or grasp</w:t>
      </w:r>
      <w:r>
        <w:rPr>
          <w:rStyle w:val="TeamReview"/>
        </w:rPr>
        <w:t xml:space="preserve">; if the cube-only policy</w:t>
      </w:r>
      <w:r>
        <w:rPr>
          <w:rStyle w:val="TeamReview"/>
        </w:rPr>
        <w:t xml:space="preserve"> </w:t>
      </w:r>
      <w:r>
        <w:rPr>
          <w:rStyle w:val="TeamReview"/>
        </w:rPr>
        <w:t xml:space="preserve">fails on the cube, we use OCBench’s shorter lite variant</w:t>
      </w:r>
      <w:r>
        <w:t xml:space="preserve">. If alignment hurts, we report negative transfer; optional experiments (D, e) go</w:t>
      </w:r>
      <w:r>
        <w:t xml:space="preserve"> </w:t>
      </w:r>
      <w:r>
        <w:t xml:space="preserve">first if time runs short.</w:t>
      </w:r>
    </w:p>
    <w:p>
      <w:pPr>
        <w:pStyle w:val="Heading1"/>
      </w:pPr>
      <w:r>
        <w:t xml:space="preserve">Role of group members</w:t>
      </w:r>
    </w:p>
    <w:p>
      <w:pPr>
        <w:pStyle w:val="FirstParagraph"/>
      </w:pPr>
      <w:r>
        <w:t xml:space="preserve">All members collaborate and review the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8"/>
        <w:gridCol w:w="2055"/>
        <w:gridCol w:w="4715"/>
      </w:tblGrid>
      <w:tr>
        <w:trPr>
          <w:tblHeader w:val="on"/>
        </w:trPr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Member</w:t>
            </w:r>
          </w:p>
        </w:tc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Borders>
              <w:bottom w:val="single" w:sz="12" w:space="0" w:color="000000"/>
            </w:tcBorders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and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Simulation, expert demos, datasets, splits, rollouts,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 adaptation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Discriminator, adversarial training, tuning, experiments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 dynamics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IDM architecture and training, pseudo-labeling, error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TeamName"/>
              </w:rPr>
              <w:t xml:space="preserve">MEMBER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and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training, baselines, alternative methods, comparisons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Generative-AI disclosure.</w:t>
      </w:r>
      <w:r>
        <w:t xml:space="preserve"> </w:t>
      </w:r>
      <w:r>
        <w:t xml:space="preserve">Codex (OpenAI) and Claude Code</w:t>
      </w:r>
      <w:r>
        <w:t xml:space="preserve"> </w:t>
      </w:r>
      <w:r>
        <w:t xml:space="preserve">(Anthropic) assisted with literature search, bibliography formatting, document</w:t>
      </w:r>
      <w:r>
        <w:t xml:space="preserve"> </w:t>
      </w:r>
      <w:r>
        <w:t xml:space="preserve">structure, and prose. We used them to survey recent work and to format the</w:t>
      </w:r>
      <w:r>
        <w:t xml:space="preserve"> </w:t>
      </w:r>
      <w:r>
        <w:t xml:space="preserve">document; the team revised all text and verified every claim and citation against</w:t>
      </w:r>
      <w:r>
        <w:t xml:space="preserve"> </w:t>
      </w:r>
      <w:r>
        <w:t xml:space="preserve">the original sources.</w:t>
      </w:r>
    </w:p>
    <w:p>
      <w:pPr>
        <w:pStyle w:val="Heading1"/>
      </w:pPr>
      <w:r>
        <w:t xml:space="preserve">References</w:t>
      </w:r>
    </w:p>
    <w:bookmarkStart w:id="17" w:name="ref_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Park and S. Levine,</w:t>
      </w:r>
      <w:r>
        <w:t xml:space="preserve"> </w:t>
      </w:r>
      <w:r>
        <w:t xml:space="preserve">“Behavioral cloning mystery.”</w:t>
      </w:r>
      <w:r>
        <w:t xml:space="preserve"> </w:t>
      </w:r>
      <w:r>
        <w:t xml:space="preserve">arXiv preprint arXiv:2610.07056, 2026. Available:</w:t>
      </w:r>
      <w:r>
        <w:t xml:space="preserve"> </w:t>
      </w:r>
      <w:hyperlink r:id="rId16">
        <w:r>
          <w:rPr>
            <w:rStyle w:val="Hyperlink"/>
          </w:rPr>
          <w:t xml:space="preserve">https://arxiv.org/abs/2610.07056</w:t>
        </w:r>
      </w:hyperlink>
    </w:p>
    <w:bookmarkEnd w:id="17"/>
    <w:bookmarkStart w:id="19" w:name="ref_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Khazatsky, K. Pertsch, S. Nair,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DROID</w:t>
      </w:r>
      <w:r>
        <w:t xml:space="preserve">: A large-scale in-the-wild robot manipulation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Robotics: Science and systems (RSS)</w:t>
      </w:r>
      <w:r>
        <w:t xml:space="preserve">, 2024. Available:</w:t>
      </w:r>
      <w:r>
        <w:t xml:space="preserve"> </w:t>
      </w:r>
      <w:hyperlink r:id="rId18">
        <w:r>
          <w:rPr>
            <w:rStyle w:val="Hyperlink"/>
          </w:rPr>
          <w:t xml:space="preserve">https://arxiv.org/abs/2403.12945</w:t>
        </w:r>
      </w:hyperlink>
    </w:p>
    <w:bookmarkEnd w:id="19"/>
    <w:bookmarkStart w:id="21" w:name="ref_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Jang, S. Ye, Z. Lin, J. Xiang, J. Bjorck,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DreamGen</w:t>
      </w:r>
      <w:r>
        <w:t xml:space="preserve">: Unlocking generalization in robot learning through video world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Conference on robot learning (CoRL)</w:t>
      </w:r>
      <w:r>
        <w:t xml:space="preserve">, in Proceedings of machine learning research, vol. 305. 2025, pp. 5170–5194. Available:</w:t>
      </w:r>
      <w:r>
        <w:t xml:space="preserve"> </w:t>
      </w:r>
      <w:hyperlink r:id="rId20">
        <w:r>
          <w:rPr>
            <w:rStyle w:val="Hyperlink"/>
          </w:rPr>
          <w:t xml:space="preserve">https://arxiv.org/abs/2505.12705</w:t>
        </w:r>
      </w:hyperlink>
    </w:p>
    <w:bookmarkEnd w:id="21"/>
    <w:bookmarkStart w:id="23" w:name="ref_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Morin, M. Byeon, A. Jolicoeur-Martineau, and S. Lachapelle,</w:t>
      </w:r>
      <w:r>
        <w:t xml:space="preserve"> </w:t>
      </w:r>
      <w:r>
        <w:t xml:space="preserve">“On the sample efficiency of inverse dynamics models for semi-supervised imitation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2026. Available:</w:t>
      </w:r>
      <w:r>
        <w:t xml:space="preserve"> </w:t>
      </w:r>
      <w:hyperlink r:id="rId22">
        <w:r>
          <w:rPr>
            <w:rStyle w:val="Hyperlink"/>
          </w:rPr>
          <w:t xml:space="preserve">https://arxiv.org/abs/2602.02762</w:t>
        </w:r>
      </w:hyperlink>
    </w:p>
    <w:bookmarkEnd w:id="23"/>
    <w:bookmarkStart w:id="25" w:name="ref_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F. Torabi, G. Warnell, and P. Stone,</w:t>
      </w:r>
      <w:r>
        <w:t xml:space="preserve"> </w:t>
      </w:r>
      <w:r>
        <w:t xml:space="preserve">“Behavioral cloning from observation,”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international joint conference on artificial intelligence</w:t>
      </w:r>
      <w:r>
        <w:t xml:space="preserve">, 2018, pp. 4950–4957. Available:</w:t>
      </w:r>
      <w:r>
        <w:t xml:space="preserve"> </w:t>
      </w:r>
      <w:hyperlink r:id="rId24">
        <w:r>
          <w:rPr>
            <w:rStyle w:val="Hyperlink"/>
          </w:rPr>
          <w:t xml:space="preserve">https://arxiv.org/abs/1805.01954</w:t>
        </w:r>
      </w:hyperlink>
    </w:p>
    <w:bookmarkEnd w:id="25"/>
    <w:bookmarkStart w:id="27" w:name="ref_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B. Baker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“Video</w:t>
      </w:r>
      <w:r>
        <w:t xml:space="preserve"> </w:t>
      </w:r>
      <w:r>
        <w:t xml:space="preserve">PreTraining</w:t>
      </w:r>
      <w:r>
        <w:t xml:space="preserve"> </w:t>
      </w:r>
      <w:r>
        <w:t xml:space="preserve">(</w:t>
      </w:r>
      <w:r>
        <w:t xml:space="preserve">VPT</w:t>
      </w:r>
      <w:r>
        <w:t xml:space="preserve">): Learning to act by watching unlabeled online videos,”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2022. Available:</w:t>
      </w:r>
      <w:r>
        <w:t xml:space="preserve"> </w:t>
      </w:r>
      <w:hyperlink r:id="rId26">
        <w:r>
          <w:rPr>
            <w:rStyle w:val="Hyperlink"/>
          </w:rPr>
          <w:t xml:space="preserve">https://proceedings.neurips.cc/paper_files/paper/2022/hash/9c7008aff45b5d8f0973b23e1a22ada0-Abstract-Conference.html</w:t>
        </w:r>
      </w:hyperlink>
    </w:p>
    <w:bookmarkEnd w:id="27"/>
    <w:bookmarkStart w:id="29" w:name="ref_7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Y. Ganin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“Domain-adversarial training of neural networks,”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17, no. 59, pp. 1–35, 2016, Available:</w:t>
      </w:r>
      <w:r>
        <w:t xml:space="preserve"> </w:t>
      </w:r>
      <w:hyperlink r:id="rId28">
        <w:r>
          <w:rPr>
            <w:rStyle w:val="Hyperlink"/>
          </w:rPr>
          <w:t xml:space="preserve">https://www.jmlr.org/papers/v17/15-239.html</w:t>
        </w:r>
      </w:hyperlink>
    </w:p>
    <w:bookmarkEnd w:id="29"/>
    <w:bookmarkStart w:id="31" w:name="ref_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H. Zhao, R. Tachet des Combes, K. Zhang, and G. J. Gordon,</w:t>
      </w:r>
      <w:r>
        <w:t xml:space="preserve"> </w:t>
      </w:r>
      <w:r>
        <w:t xml:space="preserve">“On learning invariant representations for domain adaptation,”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36th international conference on machine learning</w:t>
      </w:r>
      <w:r>
        <w:t xml:space="preserve">, in Proceedings of machine learning research, vol. 97. 2019. Available:</w:t>
      </w:r>
      <w:r>
        <w:t xml:space="preserve"> </w:t>
      </w:r>
      <w:hyperlink r:id="rId30">
        <w:r>
          <w:rPr>
            <w:rStyle w:val="Hyperlink"/>
          </w:rPr>
          <w:t xml:space="preserve">https://proceedings.mlr.press/v97/zhao19a.html</w:t>
        </w:r>
      </w:hyperlink>
    </w:p>
    <w:bookmarkEnd w:id="31"/>
    <w:sectPr>
      <w:pgSz w:w="12240" w:h="15840"/>
      <w:pgMar w:top="1440" w:right="2160" w:bottom="1440" w:left="216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0" w:after="80"/>
    </w:pPr>
  </w:style>
  <w:style w:type="paragraph" w:customStyle="1" w:styleId="FirstParagraph">
    <w:name w:val="First Paragraph"/>
    <w:basedOn w:val="BodyText"/>
    <w:next w:val="BodyText"/>
    <w:qFormat/>
    <w:pPr>
      <w:jc w:val="both"/>
    </w:pPr>
  </w:style>
  <w:style w:type="paragraph" w:customStyle="1" w:styleId="Compact">
    <w:name w:val="Compact"/>
    <w:basedOn w:val="BodyText"/>
    <w:qFormat/>
    <w:pPr>
      <w:jc w:val="both"/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160" w:after="20"/>
      <w:contextualSpacing/>
      <w:jc w:val="center"/>
    </w:pPr>
    <w:rPr>
      <w:rFonts w:ascii="Times New Roman" w:hAnsi="Times New Roman" w:eastAsia="Times New Roman" w:cs="Times New Roman"/>
      <w:b/>
      <w:bCs/>
      <w:color w:val="000000"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60" w:after="20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20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20"/>
      <w:outlineLvl w:val="2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00" w:after="20"/>
      <w:outlineLvl w:val="3"/>
    </w:pPr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jc w:val="both"/>
      <w:spacing w:before="0" w:after="8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000000"/>
    </w:rPr>
  </w:style>
  <w:style w:type="character" w:customStyle="1" w:styleId="TeamNote">
    <w:name w:val="Team Note"/>
    <w:basedOn w:val="DefaultParagraphFont"/>
    <w:rPr>
      <w:color w:val="FF0000"/>
    </w:rPr>
  </w:style>
  <w:style w:type="character" w:customStyle="1" w:styleId="TeamName">
    <w:name w:val="Team Name"/>
    <w:basedOn w:val="DefaultParagraphFont"/>
    <w:rPr>
      <w:color w:val="E06666"/>
    </w:rPr>
  </w:style>
  <w:style w:type="character" w:customStyle="1" w:styleId="TeamReview">
    <w:name w:val="Team Review"/>
    <w:basedOn w:val="DefaultParagraphFont"/>
    <w:rPr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rxiv.org/abs/1805.01954" TargetMode="External" /><Relationship Type="http://schemas.openxmlformats.org/officeDocument/2006/relationships/hyperlink" Id="rId18" Target="https://arxiv.org/abs/2403.12945" TargetMode="External" /><Relationship Type="http://schemas.openxmlformats.org/officeDocument/2006/relationships/hyperlink" Id="rId20" Target="https://arxiv.org/abs/2505.12705" TargetMode="External" /><Relationship Type="http://schemas.openxmlformats.org/officeDocument/2006/relationships/hyperlink" Id="rId22" Target="https://arxiv.org/abs/2602.02762" TargetMode="External" /><Relationship Type="http://schemas.openxmlformats.org/officeDocument/2006/relationships/hyperlink" Id="rId16" Target="https://arxiv.org/abs/2610.07056" TargetMode="External" /><Relationship Type="http://schemas.openxmlformats.org/officeDocument/2006/relationships/hyperlink" Id="rId30" Target="https://proceedings.mlr.press/v97/zhao19a.html" TargetMode="External" /><Relationship Type="http://schemas.openxmlformats.org/officeDocument/2006/relationships/hyperlink" Id="rId26" Target="https://proceedings.neurips.cc/paper_files/paper/2022/hash/9c7008aff45b5d8f0973b23e1a22ada0-Abstract-Conference.html" TargetMode="External" /><Relationship Type="http://schemas.openxmlformats.org/officeDocument/2006/relationships/hyperlink" Id="rId28" Target="https://www.jmlr.org/papers/v17/15-23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xiv.org/abs/1805.01954" TargetMode="External" /><Relationship Type="http://schemas.openxmlformats.org/officeDocument/2006/relationships/hyperlink" Id="rId18" Target="https://arxiv.org/abs/2403.12945" TargetMode="External" /><Relationship Type="http://schemas.openxmlformats.org/officeDocument/2006/relationships/hyperlink" Id="rId20" Target="https://arxiv.org/abs/2505.12705" TargetMode="External" /><Relationship Type="http://schemas.openxmlformats.org/officeDocument/2006/relationships/hyperlink" Id="rId22" Target="https://arxiv.org/abs/2602.02762" TargetMode="External" /><Relationship Type="http://schemas.openxmlformats.org/officeDocument/2006/relationships/hyperlink" Id="rId16" Target="https://arxiv.org/abs/2610.07056" TargetMode="External" /><Relationship Type="http://schemas.openxmlformats.org/officeDocument/2006/relationships/hyperlink" Id="rId30" Target="https://proceedings.mlr.press/v97/zhao19a.html" TargetMode="External" /><Relationship Type="http://schemas.openxmlformats.org/officeDocument/2006/relationships/hyperlink" Id="rId26" Target="https://proceedings.neurips.cc/paper_files/paper/2022/hash/9c7008aff45b5d8f0973b23e1a22ada0-Abstract-Conference.html" TargetMode="External" /><Relationship Type="http://schemas.openxmlformats.org/officeDocument/2006/relationships/hyperlink" Id="rId28" Target="https://www.jmlr.org/papers/v17/15-23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to Manipulate a New Object from Action-Free Videos</dc:title>
  <dc:creator>Group 9 McGill University ECSE 552 — Project proposal</dc:creator>
  <cp:keywords/>
  <dcterms:created xsi:type="dcterms:W3CDTF">2026-10-10T17:13:25Z</dcterms:created>
  <dcterms:modified xsi:type="dcterms:W3CDTF">2026-10-10T17:13:25Z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../tools/ieee.csl</vt:lpwstr>
  </property>
  <property fmtid="{D5CDD505-2E9C-101B-9397-08002B2CF9AE}" pid="4" name="link-bibliography">
    <vt:lpwstr>True</vt:lpwstr>
  </property>
  <property fmtid="{D5CDD505-2E9C-101B-9397-08002B2CF9AE}" pid="5" name="link-citations">
    <vt:lpwstr>True</vt:lpwstr>
  </property>
  <property fmtid="{D5CDD505-2E9C-101B-9397-08002B2CF9AE}" pid="6" name="reference-section-title">
    <vt:lpwstr>References</vt:lpwstr>
  </property>
</Properties>
</file>