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Learning to Manipulate a New Object</w:t>
      </w:r>
      <w:r>
        <w:br/>
      </w:r>
      <w:r>
        <w:t xml:space="preserve">from Action-Free Videos</w:t>
      </w:r>
    </w:p>
    <w:p>
      <w:pPr>
        <w:pStyle w:val="Author"/>
      </w:pPr>
      <w:r>
        <w:t xml:space="preserve">Group 9</w:t>
      </w:r>
      <w:r>
        <w:br/>
      </w:r>
      <w:r>
        <w:t xml:space="preserve">McGill University</w:t>
      </w:r>
      <w:r>
        <w:br/>
      </w:r>
      <w:r>
        <w:t xml:space="preserve">ECSE 552 — Project proposal</w:t>
      </w:r>
    </w:p>
    <w:p>
      <w:pPr>
        <w:pStyle w:val="Heading1"/>
      </w:pPr>
      <w:r>
        <w:t xml:space="preserve">Background</w:t>
      </w:r>
    </w:p>
    <w:p>
      <w:pPr>
        <w:pStyle w:val="FirstParagraph"/>
      </w:pPr>
      <w:r>
        <w:rPr>
          <w:b/>
          <w:bCs/>
        </w:rPr>
        <w:t xml:space="preserve">Application.</w:t>
      </w:r>
      <w:r>
        <w:t xml:space="preserve"> </w:t>
      </w:r>
      <w:r>
        <w:t xml:space="preserve">We teach a robot arm that manipulates one object to handle new ones from videos alone:</w:t>
      </w:r>
      <w:r>
        <w:t xml:space="preserve"> </w:t>
      </w:r>
      <w:r>
        <w:t xml:space="preserve">warehouse and home robots meet new items constantly, and recording paired images and</w:t>
      </w:r>
      <w:r>
        <w:t xml:space="preserve"> </w:t>
      </w:r>
      <w:r>
        <w:t xml:space="preserve">motor commands for each requires operating the robot. We study this in OCBench</w:t>
      </w:r>
      <w:r>
        <w:t xml:space="preserve"> </w:t>
      </w:r>
      <w:r>
        <w:t xml:space="preserve">simulation (UR5e arm, Robotiq gripper)</w:t>
      </w:r>
      <w:r>
        <w:t xml:space="preserve"> </w:t>
      </w:r>
      <w:hyperlink w:anchor="ref_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Problem and need.</w:t>
      </w:r>
      <w:r>
        <w:t xml:space="preserve"> </w:t>
      </w:r>
      <w:r>
        <w:t xml:space="preserve">Visuomotor policies imitate images paired with motor commands, and acquiring such pairs</w:t>
      </w:r>
      <w:r>
        <w:t xml:space="preserve"> </w:t>
      </w:r>
      <w:r>
        <w:t xml:space="preserve">across varying configurations is costly and time-consuming: 50 people took a year to</w:t>
      </w:r>
      <w:r>
        <w:t xml:space="preserve"> </w:t>
      </w:r>
      <w:r>
        <w:t xml:space="preserve">collect 76k teleoperated demonstrations</w:t>
      </w:r>
      <w:r>
        <w:t xml:space="preserve"> </w:t>
      </w:r>
      <w:hyperlink w:anchor="ref_2">
        <w:r>
          <w:rPr>
            <w:rStyle w:val="Hyperlink"/>
          </w:rPr>
          <w:t xml:space="preserve">[2]</w:t>
        </w:r>
      </w:hyperlink>
      <w:r>
        <w:t xml:space="preserve">. With limited</w:t>
      </w:r>
      <w:r>
        <w:t xml:space="preserve"> </w:t>
      </w:r>
      <w:r>
        <w:t xml:space="preserve">training coverage, a policy may produce an erroneous action when it encounters an</w:t>
      </w:r>
      <w:r>
        <w:t xml:space="preserve"> </w:t>
      </w:r>
      <w:r>
        <w:t xml:space="preserve">unfamiliar situation. Errors can compound during execution, moving the robot further</w:t>
      </w:r>
      <w:r>
        <w:t xml:space="preserve"> </w:t>
      </w:r>
      <w:r>
        <w:t xml:space="preserve">from situations represented in its training data</w:t>
      </w:r>
      <w:r>
        <w:t xml:space="preserve"> </w:t>
      </w:r>
      <w:hyperlink w:anchor="ref_3">
        <w:r>
          <w:rPr>
            <w:rStyle w:val="Hyperlink"/>
          </w:rPr>
          <w:t xml:space="preserve">[3]</w:t>
        </w:r>
      </w:hyperlink>
      <w:r>
        <w:t xml:space="preserve">. We investigate</w:t>
      </w:r>
      <w:r>
        <w:t xml:space="preserve"> </w:t>
      </w:r>
      <w:r>
        <w:t xml:space="preserve">whether action-free videos can help pixel-to-action policies manipulate new objects</w:t>
      </w:r>
      <w:r>
        <w:t xml:space="preserve"> </w:t>
      </w:r>
      <w:r>
        <w:t xml:space="preserve">without collecting additional action labels for those objects.</w:t>
      </w:r>
    </w:p>
    <w:p>
      <w:pPr>
        <w:pStyle w:val="Heading4"/>
      </w:pPr>
      <w:r>
        <w:t xml:space="preserve">Constraints.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1367"/>
        <w:gridCol w:w="3975"/>
        <w:gridCol w:w="2067"/>
      </w:tblGrid>
      <w:tr>
        <w:trPr>
          <w:tblHeader w:val="on"/>
        </w:trPr>
        <w:tc>
          <w:tcPr>
            <w:tcBorders>
              <w:bottom w:val="single" w:sz="12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Borders>
              <w:bottom w:val="single" w:sz="12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tcBorders>
              <w:bottom w:val="single" w:sz="12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  <w:tc>
          <w:tcPr>
            <w:tcBorders>
              <w:bottom w:val="single" w:sz="12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data are RGB frames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target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Labeled cube demonstrations, identical for every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  <w:r>
              <w:t xml:space="preserve"> </w:t>
            </w:r>
            <w:r>
              <w:t xml:space="preserve">demos; 300 if cube-only ACT is below 80% in the source 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simulator state in any learned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gain over the cube-only policy on each target, as a fraction of the oracle’s gain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in cube success after adding target data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10</m:t>
              </m:r>
            </m:oMath>
            <w:r>
              <w:t xml:space="preserve"> </w:t>
            </w: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inference per call, completed within one 25-action chunk at 50 Hz, so it can run while the previous chunk executes (IDM offline)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0.5</m:t>
              </m:r>
            </m:oMath>
            <w:r>
              <w:t xml:space="preserve"> </w:t>
            </w:r>
            <w:r>
              <w:t xml:space="preserve">s</w:t>
            </w:r>
          </w:p>
        </w:tc>
      </w:tr>
    </w:tbl>
    <w:p>
      <w:pPr>
        <w:pStyle w:val="Heading1"/>
      </w:pPr>
      <w:r>
        <w:t xml:space="preserve">Aims/Goals</w:t>
      </w:r>
    </w:p>
    <w:p>
      <w:pPr>
        <w:pStyle w:val="FirstParagraph"/>
      </w:pPr>
      <w:r>
        <w:rPr>
          <w:b/>
          <w:bCs/>
        </w:rPr>
        <w:t xml:space="preserve">Goals.</w:t>
      </w:r>
      <w:r>
        <w:t xml:space="preserve"> </w:t>
      </w:r>
      <w:r>
        <w:t xml:space="preserve">Meet R4 and R5 on each target, satisfy R1–R3 by design, and measure R6.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We study an alternative data-gathering method in simulation, evaluating three target</w:t>
      </w:r>
      <w:r>
        <w:t xml:space="preserve"> </w:t>
      </w:r>
      <w:r>
        <w:t xml:space="preserve">objects and an optional fourth; real robots are unavailable. We use OCBench’s visual</w:t>
      </w:r>
      <w:r>
        <w:t xml:space="preserve"> </w:t>
      </w:r>
      <w:r>
        <w:t xml:space="preserve">single-block task with its default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cm red cube as source. Targets</w:t>
      </w:r>
      <w:r>
        <w:t xml:space="preserve"> </w:t>
      </w:r>
      <w:r>
        <w:t xml:space="preserve">are (A) a blue cube of identical size (appearance), (B) a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cm red</w:t>
      </w:r>
      <w:r>
        <w:t xml:space="preserve"> </w:t>
      </w:r>
      <w:r>
        <w:t xml:space="preserve">block (geometry, same grasp width), (C) a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cm red block (geometry</w:t>
      </w:r>
      <w:r>
        <w:t xml:space="preserve"> </w:t>
      </w:r>
      <w:r>
        <w:t xml:space="preserve">and grasp width), and optionally (D) a blue version of C (combined). Expert grasps are</w:t>
      </w:r>
      <w:r>
        <w:t xml:space="preserve"> </w:t>
      </w:r>
      <w:r>
        <w:t xml:space="preserve">adapted; robots, cameras, lighting, and tasks stay fixed. Human videos and large</w:t>
      </w:r>
      <w:r>
        <w:t xml:space="preserve"> </w:t>
      </w:r>
      <w:r>
        <w:t xml:space="preserve">pretrained models are out of scope.</w:t>
      </w:r>
    </w:p>
    <w:p>
      <w:pPr>
        <w:pStyle w:val="BodyText"/>
      </w:pPr>
      <w:r>
        <w:rPr>
          <w:b/>
          <w:bCs/>
        </w:rPr>
        <w:t xml:space="preserve">Proposed solution.</w:t>
      </w:r>
      <w:r>
        <w:t xml:space="preserve"> </w:t>
      </w:r>
      <w:r>
        <w:t xml:space="preserve">World models and video generation models could provide demonstrations without action</w:t>
      </w:r>
      <w:r>
        <w:t xml:space="preserve"> </w:t>
      </w:r>
      <w:r>
        <w:t xml:space="preserve">labels</w:t>
      </w:r>
      <w:r>
        <w:t xml:space="preserve"> </w:t>
      </w:r>
      <w:hyperlink w:anchor="ref_4">
        <w:r>
          <w:rPr>
            <w:rStyle w:val="Hyperlink"/>
          </w:rPr>
          <w:t xml:space="preserve">[4]</w:t>
        </w:r>
      </w:hyperlink>
      <w:r>
        <w:t xml:space="preserve">. In this project, we use simulator-generated videos of</w:t>
      </w:r>
      <w:r>
        <w:t xml:space="preserve"> </w:t>
      </w:r>
      <w:r>
        <w:t xml:space="preserve">new objects to evaluate learning from action-free demonstrations in a controlled</w:t>
      </w:r>
      <w:r>
        <w:t xml:space="preserve"> </w:t>
      </w:r>
      <w:r>
        <w:t xml:space="preserve">setting. We feed consecutive frames into an inverse dynamics model (IDM), trained on few</w:t>
      </w:r>
      <w:r>
        <w:t xml:space="preserve"> </w:t>
      </w:r>
      <w:r>
        <w:t xml:space="preserve">labeled cube demonstrations</w:t>
      </w:r>
      <w:r>
        <w:t xml:space="preserve"> </w:t>
      </w:r>
      <w:hyperlink w:anchor="ref_5">
        <w:r>
          <w:rPr>
            <w:rStyle w:val="Hyperlink"/>
          </w:rPr>
          <w:t xml:space="preserve">[5]</w:t>
        </w:r>
      </w:hyperlink>
      <w:r>
        <w:t xml:space="preserve">, and infer actions for imitation</w:t>
      </w:r>
      <w:r>
        <w:t xml:space="preserve"> </w:t>
      </w:r>
      <w:r>
        <w:t xml:space="preserve">learning</w:t>
      </w:r>
      <w:r>
        <w:t xml:space="preserve"> </w:t>
      </w:r>
      <w:hyperlink w:anchor="ref_6">
        <w:r>
          <w:rPr>
            <w:rStyle w:val="Hyperlink"/>
          </w:rPr>
          <w:t xml:space="preserve">[6]</w:t>
        </w:r>
      </w:hyperlink>
      <w:r>
        <w:t xml:space="preserve">,</w:t>
      </w:r>
      <w:r>
        <w:t xml:space="preserve"> </w:t>
      </w:r>
      <w:hyperlink w:anchor="ref_7">
        <w:r>
          <w:rPr>
            <w:rStyle w:val="Hyperlink"/>
          </w:rPr>
          <w:t xml:space="preserve">[7]</w:t>
        </w:r>
      </w:hyperlink>
      <w:r>
        <w:t xml:space="preserve">. Formally, given cube transitions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and unlabeled target videos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}</m:t>
        </m:r>
      </m:oMath>
      <w:r>
        <w:t xml:space="preserve">, we seek an image-only policy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t xml:space="preserve">satisfying R1–R6.</w:t>
      </w:r>
      <w:r>
        <w:t xml:space="preserve"> </w:t>
      </w:r>
      <w:r>
        <w:t xml:space="preserve">We adapt the IDM to each target before labeling its videos, using frame differences for</w:t>
      </w:r>
      <w:r>
        <w:t xml:space="preserve"> </w:t>
      </w:r>
      <w:r>
        <w:t xml:space="preserve">motion cues and DANN</w:t>
      </w:r>
      <w:r>
        <w:t xml:space="preserve"> </w:t>
      </w:r>
      <w:hyperlink w:anchor="ref_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to encourage domain-invariant features while</w:t>
      </w:r>
      <w:r>
        <w:t xml:space="preserve"> </w:t>
      </w:r>
      <w:r>
        <w:t xml:space="preserve">still predicting cube actions. One ACT policy per target then trains on cube</w:t>
      </w:r>
      <w:r>
        <w:t xml:space="preserve"> </w:t>
      </w:r>
      <w:r>
        <w:t xml:space="preserve">demonstrations plus pseudo-labeled target videos. Adaptation should help most on A,</w:t>
      </w:r>
      <w:r>
        <w:t xml:space="preserve"> </w:t>
      </w:r>
      <w:r>
        <w:t xml:space="preserve">where only appearance changes.</w:t>
      </w:r>
    </w:p>
    <w:p>
      <w:pPr>
        <w:pStyle w:val="Heading1"/>
      </w:pPr>
      <w:r>
        <w:t xml:space="preserve">Methodology</w:t>
      </w:r>
    </w:p>
    <w:p>
      <w:pPr>
        <w:pStyle w:val="FirstParagraph"/>
      </w:pPr>
      <w:r>
        <w:rPr>
          <w:b/>
          <w:bCs/>
        </w:rPr>
        <w:t xml:space="preserve">Design and implementation.</w:t>
      </w:r>
      <w:r>
        <w:t xml:space="preserve"> </w:t>
      </w:r>
      <w:r>
        <w:t xml:space="preserve">Observations are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RGB images from the front, side, and wrist cameras;</w:t>
      </w:r>
      <w:r>
        <w:t xml:space="preserve"> </w:t>
      </w:r>
      <w:r>
        <w:t xml:space="preserve">actions are seven normalized joint and gripper increments at 50 Hz. The IDM uses a</w:t>
      </w:r>
      <w:r>
        <w:t xml:space="preserve"> </w:t>
      </w:r>
      <w:r>
        <w:t xml:space="preserve">convolutional encoder shared across cameras to embed consecutive frames and their</w:t>
      </w:r>
      <w:r>
        <w:t xml:space="preserve"> </w:t>
      </w:r>
      <w:r>
        <w:t xml:space="preserve">difference, followed by an MLP trained with action mean squared error. Following DANN</w:t>
      </w:r>
      <w:r>
        <w:t xml:space="preserve"> </w:t>
      </w:r>
      <w:hyperlink w:anchor="ref_8">
        <w:r>
          <w:rPr>
            <w:rStyle w:val="Hyperlink"/>
          </w:rPr>
          <w:t xml:space="preserve">[8]</w:t>
        </w:r>
      </w:hyperlink>
      <w:r>
        <w:t xml:space="preserve">, a domain discriminator is trained with binary cross-entropy</w:t>
      </w:r>
      <w:r>
        <w:t xml:space="preserve"> </w:t>
      </w:r>
      <w:r>
        <w:t xml:space="preserve">through a gradient reversal layer, whose reversed gradient is scaled by a weight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ramps up during training. The IDM retains its supervised source</w:t>
      </w:r>
      <w:r>
        <w:t xml:space="preserve"> </w:t>
      </w:r>
      <w:r>
        <w:t xml:space="preserve">action-prediction loss;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unadapted IDM. The policy is an</w:t>
      </w:r>
      <w:r>
        <w:t xml:space="preserve"> </w:t>
      </w:r>
      <w:r>
        <w:t xml:space="preserve">image-only adaptation of ACT</w:t>
      </w:r>
      <w:r>
        <w:t xml:space="preserve"> </w:t>
      </w:r>
      <w:hyperlink w:anchor="ref_3">
        <w:r>
          <w:rPr>
            <w:rStyle w:val="Hyperlink"/>
          </w:rPr>
          <w:t xml:space="preserve">[3]</w:t>
        </w:r>
      </w:hyperlink>
      <w:r>
        <w:t xml:space="preserve">, excluding joint-position inputs and</w:t>
      </w:r>
      <w:r>
        <w:t xml:space="preserve"> </w:t>
      </w:r>
      <w:r>
        <w:t xml:space="preserve">predicting chunks of 25 action increments. It is trained as a conditional VAE with L1</w:t>
      </w:r>
      <w:r>
        <w:t xml:space="preserve"> </w:t>
      </w:r>
      <w:r>
        <w:t xml:space="preserve">reconstruction and KL-divergence losses. Chunks are executed open loop without temporal</w:t>
      </w:r>
      <w:r>
        <w:t xml:space="preserve"> </w:t>
      </w:r>
      <w:r>
        <w:t xml:space="preserve">ensembling. IDM and policy encoder weights are separate. All policy comparisons use the</w:t>
      </w:r>
      <w:r>
        <w:t xml:space="preserve"> </w:t>
      </w:r>
      <w:r>
        <w:t xml:space="preserve">same ACT architecture and training budget in PyTorch.</w:t>
      </w:r>
    </w:p>
    <w:p>
      <w:pPr>
        <w:pStyle w:val="BodyText"/>
      </w:pPr>
      <w:r>
        <w:rPr>
          <w:b/>
          <w:bCs/>
        </w:rPr>
        <w:t xml:space="preserve">Validation, testing, and evaluation.</w:t>
      </w:r>
      <w:r>
        <w:t xml:space="preserve"> </w:t>
      </w:r>
      <w:r>
        <w:t xml:space="preserve">Demonstrations are split by episode into 80% training, 10% validation, and 10% test,</w:t>
      </w:r>
      <w:r>
        <w:t xml:space="preserve"> </w:t>
      </w:r>
      <w:r>
        <w:t xml:space="preserve">with identical splits across methods. Target actions never select models: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prescheduled, IDM checkpoints follow source validation error, and policy training steps</w:t>
      </w:r>
      <w:r>
        <w:t xml:space="preserve"> </w:t>
      </w:r>
      <w:r>
        <w:t xml:space="preserve">are fixed. Across three seeds, we report per-component IDM error on held-out test</w:t>
      </w:r>
      <w:r>
        <w:t xml:space="preserve"> </w:t>
      </w:r>
      <w:r>
        <w:t xml:space="preserve">transitions, policy inference latency, and target success and cube retention over 100</w:t>
      </w:r>
      <w:r>
        <w:t xml:space="preserve"> </w:t>
      </w:r>
      <w:r>
        <w:t xml:space="preserve">separate evaluation rollouts per seed, method, and object, with identical initial states</w:t>
      </w:r>
      <w:r>
        <w:t xml:space="preserve"> </w:t>
      </w:r>
      <w:r>
        <w:t xml:space="preserve">across methods. We compare ACT policies using (a) cube-only data, (b) unadapted IDM</w:t>
      </w:r>
      <w:r>
        <w:t xml:space="preserve"> </w:t>
      </w:r>
      <w:r>
        <w:t xml:space="preserve">labels, (c) DANN-adapted IDM labels, (d) true target actions, and (e) cube-only</w:t>
      </w:r>
      <w:r>
        <w:t xml:space="preserve"> </w:t>
      </w:r>
      <w:r>
        <w:t xml:space="preserve">augmentation; optionally, (f) adds policy-encoder alignment to (b). Target actions</w:t>
      </w:r>
      <w:r>
        <w:t xml:space="preserve"> </w:t>
      </w:r>
      <w:r>
        <w:t xml:space="preserve">otherwise serve only post-training evaluation. R4 is inconclusive if (d)’s success does</w:t>
      </w:r>
      <w:r>
        <w:t xml:space="preserve"> </w:t>
      </w:r>
      <w:r>
        <w:t xml:space="preserve">not exceed (a)’s.</w:t>
      </w:r>
    </w:p>
    <w:p>
      <w:pPr>
        <w:pStyle w:val="BodyText"/>
      </w:pPr>
      <w:r>
        <w:rPr>
          <w:b/>
          <w:bCs/>
        </w:rPr>
        <w:t xml:space="preserve">Alternatives.</w:t>
      </w:r>
      <w:r>
        <w:t xml:space="preserve"> </w:t>
      </w:r>
      <w:r>
        <w:t xml:space="preserve">Methods (b)–(d) also use cube demonstrations; (b) and (c) share augmentation settings.</w:t>
      </w:r>
      <w:r>
        <w:t xml:space="preserve"> </w:t>
      </w:r>
      <w:r>
        <w:t xml:space="preserve">Comparing (b)/(c) isolates IDM adaptation; (e)/(c) tests gains over strong source-only</w:t>
      </w:r>
      <w:r>
        <w:t xml:space="preserve"> </w:t>
      </w:r>
      <w:r>
        <w:t xml:space="preserve">augmentation; (a)/(d) anchor R4. Method (e) uses hue, brightness, contrast, and</w:t>
      </w:r>
      <w:r>
        <w:t xml:space="preserve"> </w:t>
      </w:r>
      <w:r>
        <w:t xml:space="preserve">saturation jitter and small random crops. We expect it to be competitive on A; B and C</w:t>
      </w:r>
      <w:r>
        <w:t xml:space="preserve"> </w:t>
      </w:r>
      <w:r>
        <w:t xml:space="preserve">test geometry and grasp-width changes these augmentations do not directly reproduce. We</w:t>
      </w:r>
      <w:r>
        <w:t xml:space="preserve"> </w:t>
      </w:r>
      <w:r>
        <w:t xml:space="preserve">hypothesize that (c) improves pseudo-label accuracy and policy success over (b), while</w:t>
      </w:r>
      <w:r>
        <w:t xml:space="preserve"> </w:t>
      </w:r>
      <w:r>
        <w:t xml:space="preserve">testing for negative transfer.</w:t>
      </w:r>
    </w:p>
    <w:p>
      <w:pPr>
        <w:pStyle w:val="Heading1"/>
      </w:pPr>
      <w:r>
        <w:t xml:space="preserve">Feasibility and resources</w:t>
      </w:r>
    </w:p>
    <w:p>
      <w:pPr>
        <w:pStyle w:val="FirstParagraph"/>
      </w:pPr>
      <w:r>
        <w:rPr>
          <w:b/>
          <w:bCs/>
        </w:rPr>
        <w:t xml:space="preserve">Dataset, resources, and plan.</w:t>
      </w:r>
      <w:r>
        <w:t xml:space="preserve"> </w:t>
      </w:r>
      <w:r>
        <w:t xml:space="preserve">We generate all data in OCBench with MuJoCo: 100 labeled cube demonstrations (300 if</w:t>
      </w:r>
      <w:r>
        <w:t xml:space="preserve"> </w:t>
      </w:r>
      <w:r>
        <w:t xml:space="preserve">cube-only ACT scores below 80% in separate cube-validation rollouts; the budget and</w:t>
      </w:r>
      <w:r>
        <w:t xml:space="preserve"> </w:t>
      </w:r>
      <w:r>
        <w:t xml:space="preserve">split ratios are fixed before any comparison) and 200 action-free videos per target,</w:t>
      </w:r>
      <w:r>
        <w:t xml:space="preserve"> </w:t>
      </w:r>
      <w:r>
        <w:t xml:space="preserve">keeping true target actions only for evaluation and the oracle; no licensing or ethics</w:t>
      </w:r>
      <w:r>
        <w:t xml:space="preserve"> </w:t>
      </w:r>
      <w:r>
        <w:t xml:space="preserve">constraints apply. Training uses one NVIDIA A10G GPU; the pilot estimates compute. A</w:t>
      </w:r>
      <w:r>
        <w:t xml:space="preserve"> </w:t>
      </w:r>
      <w:r>
        <w:t xml:space="preserve">pilot by October 21 checks expert success, the cube-only policy’s success on the cube</w:t>
      </w:r>
      <w:r>
        <w:t xml:space="preserve"> </w:t>
      </w:r>
      <w:r>
        <w:t xml:space="preserve">and each target, and the IDM’s source validation error. Core methods follow by November</w:t>
      </w:r>
      <w:r>
        <w:t xml:space="preserve"> </w:t>
      </w:r>
      <w:r>
        <w:t xml:space="preserve">1; evaluation by November 18.</w:t>
      </w:r>
    </w:p>
    <w:p>
      <w:pPr>
        <w:pStyle w:val="Heading1"/>
      </w:pPr>
      <w:r>
        <w:t xml:space="preserve">Risk analysis</w:t>
      </w:r>
    </w:p>
    <w:p>
      <w:pPr>
        <w:pStyle w:val="FirstParagraph"/>
      </w:pPr>
      <w:r>
        <w:rPr>
          <w:b/>
          <w:bCs/>
        </w:rPr>
        <w:t xml:space="preserve">Pitfalls and mitigation.</w:t>
      </w:r>
      <w:r>
        <w:t xml:space="preserve"> </w:t>
      </w:r>
      <w:r>
        <w:t xml:space="preserve">Adversarial alignment does not guarantee action alignment</w:t>
      </w:r>
      <w:r>
        <w:t xml:space="preserve"> </w:t>
      </w:r>
      <w:hyperlink w:anchor="ref_9">
        <w:r>
          <w:rPr>
            <w:rStyle w:val="Hyperlink"/>
          </w:rPr>
          <w:t xml:space="preserve">[9]</w:t>
        </w:r>
      </w:hyperlink>
      <w:r>
        <w:t xml:space="preserve">;</w:t>
      </w:r>
      <w:r>
        <w:t xml:space="preserve"> </w:t>
      </w:r>
      <w:r>
        <w:t xml:space="preserve">per-component errors test whether actions remain readable from arm motion. If experts</w:t>
      </w:r>
      <w:r>
        <w:t xml:space="preserve"> </w:t>
      </w:r>
      <w:r>
        <w:t xml:space="preserve">fail, adjust objects or grasps; if cube-only ACT fails on the cube, use OCBench’s</w:t>
      </w:r>
      <w:r>
        <w:t xml:space="preserve"> </w:t>
      </w:r>
      <w:r>
        <w:t xml:space="preserve">shorter lite task. We report negative transfer if alignment hurts. If time runs short,</w:t>
      </w:r>
      <w:r>
        <w:t xml:space="preserve"> </w:t>
      </w:r>
      <w:r>
        <w:t xml:space="preserve">drop target D and policy-alignment experiment (f); oracle (d) remains mandatory for R4.</w:t>
      </w:r>
    </w:p>
    <w:p>
      <w:pPr>
        <w:pStyle w:val="Heading1"/>
      </w:pPr>
      <w:r>
        <w:t xml:space="preserve">Role of group members</w:t>
      </w:r>
    </w:p>
    <w:p>
      <w:pPr>
        <w:pStyle w:val="FirstParagraph"/>
      </w:pPr>
      <w:r>
        <w:t xml:space="preserve">All members collaborate and review the report.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7"/>
        <w:gridCol w:w="2027"/>
        <w:gridCol w:w="4245"/>
      </w:tblGrid>
      <w:tr>
        <w:trPr>
          <w:tblHeader w:val="on"/>
        </w:trPr>
        <w:tc>
          <w:tcPr>
            <w:tcBorders>
              <w:bottom w:val="single" w:sz="12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Member</w:t>
            </w:r>
          </w:p>
        </w:tc>
        <w:tc>
          <w:tcPr>
            <w:tcBorders>
              <w:bottom w:val="single" w:sz="12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Borders>
              <w:bottom w:val="single" w:sz="12" w:space="0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Brik Meza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and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Simulation, expert demos, datasets, splits, rollouts,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Myriam Dardour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Discriminator, adversarial training, tuning, experiments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Zheng Ye Zhang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Inverse dynamics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IDM architecture and training, pseudo-labeling, error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Gonzalo Millán García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Baselines and 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training, baselines, alternative methods, comparisons</w:t>
            </w:r>
          </w:p>
        </w:tc>
      </w:tr>
    </w:tbl>
    <w:p>
      <w:pPr>
        <w:pageBreakBefore/>
        <w:pStyle w:val="BodyText"/>
      </w:pPr>
      <w:r>
        <w:rPr>
          <w:b/>
          <w:bCs/>
        </w:rPr>
        <w:t xml:space="preserve">Generative-AI disclosure.</w:t>
      </w:r>
      <w:r>
        <w:t xml:space="preserve"> </w:t>
      </w:r>
      <w:r>
        <w:t xml:space="preserve">ChatGPT (OpenAI) and Claude</w:t>
      </w:r>
      <w:r>
        <w:t xml:space="preserve"> </w:t>
      </w:r>
      <w:r>
        <w:t xml:space="preserve">(Anthropic) assisted with literature search, bibliography formatting, document</w:t>
      </w:r>
      <w:r>
        <w:t xml:space="preserve"> </w:t>
      </w:r>
      <w:r>
        <w:t xml:space="preserve">structure, and prose. We used them to survey recent work and to format the</w:t>
      </w:r>
      <w:r>
        <w:t xml:space="preserve"> </w:t>
      </w:r>
      <w:r>
        <w:t xml:space="preserve">document; the team revised all text and verified every claim and citation against</w:t>
      </w:r>
      <w:r>
        <w:t xml:space="preserve"> </w:t>
      </w:r>
      <w:r>
        <w:t xml:space="preserve">the sources.</w:t>
      </w:r>
    </w:p>
    <w:p>
      <w:pPr>
        <w:pStyle w:val="Heading1"/>
      </w:pPr>
      <w:r>
        <w:t xml:space="preserve">References</w:t>
      </w:r>
    </w:p>
    <w:bookmarkStart w:id="18" w:name="ref_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S. Park and S. Levine,</w:t>
      </w:r>
      <w:r>
        <w:t xml:space="preserve"> </w:t>
      </w:r>
      <w:r>
        <w:t xml:space="preserve">“Behavioral cloning mystery.”</w:t>
      </w:r>
      <w:r>
        <w:t xml:space="preserve"> </w:t>
      </w:r>
      <w:r>
        <w:t xml:space="preserve">arXiv preprint arXiv:2610.07056, 2026. Available:</w:t>
      </w:r>
      <w:r>
        <w:t xml:space="preserve"> </w:t>
      </w:r>
      <w:hyperlink r:id="rId17">
        <w:r>
          <w:rPr>
            <w:rStyle w:val="Hyperlink"/>
          </w:rPr>
          <w:t xml:space="preserve">https://arxiv.org/abs/2610.07056</w:t>
        </w:r>
      </w:hyperlink>
    </w:p>
    <w:bookmarkEnd w:id="18"/>
    <w:bookmarkStart w:id="20" w:name="ref_2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Khazatsky, K. Pertsch, S. Nair,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DROID</w:t>
      </w:r>
      <w:r>
        <w:t xml:space="preserve">: A large-scale in-the-wild robot manipulation dataset,”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Robotics: Science and systems (RSS)</w:t>
      </w:r>
      <w:r>
        <w:t xml:space="preserve">, 2024. Available:</w:t>
      </w:r>
      <w:r>
        <w:t xml:space="preserve"> </w:t>
      </w:r>
      <w:hyperlink r:id="rId19">
        <w:r>
          <w:rPr>
            <w:rStyle w:val="Hyperlink"/>
          </w:rPr>
          <w:t xml:space="preserve">https://arxiv.org/abs/2403.12945</w:t>
        </w:r>
      </w:hyperlink>
    </w:p>
    <w:bookmarkEnd w:id="20"/>
    <w:bookmarkStart w:id="22" w:name="ref_3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Z. Zhao, V. Kumar, S. Levine, and C. Finn,</w:t>
      </w:r>
      <w:r>
        <w:t xml:space="preserve"> </w:t>
      </w:r>
      <w:r>
        <w:t xml:space="preserve">“Learning fine-grained bimanual manipulation with low-cost hardware,”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Robotics: Science and systems (RSS)</w:t>
      </w:r>
      <w:r>
        <w:t xml:space="preserve">, 2023. doi:</w:t>
      </w:r>
      <w:r>
        <w:t xml:space="preserve"> </w:t>
      </w:r>
      <w:hyperlink r:id="rId21">
        <w:r>
          <w:rPr>
            <w:rStyle w:val="Hyperlink"/>
          </w:rPr>
          <w:t xml:space="preserve">10.15607/RSS.2023.XIX.016</w:t>
        </w:r>
      </w:hyperlink>
      <w:r>
        <w:t xml:space="preserve">.</w:t>
      </w:r>
    </w:p>
    <w:bookmarkEnd w:id="22"/>
    <w:bookmarkStart w:id="24" w:name="ref_4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Jang, S. Ye, Z. Lin, J. Xiang, J. Bjorck,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DreamGen</w:t>
      </w:r>
      <w:r>
        <w:t xml:space="preserve">: Unlocking generalization in robot learning through video world models,”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Conference on robot learning (CoRL)</w:t>
      </w:r>
      <w:r>
        <w:t xml:space="preserve">, in Proceedings of machine learning research, vol. 305. 2025, pp. 5170–5194. Available:</w:t>
      </w:r>
      <w:r>
        <w:t xml:space="preserve"> </w:t>
      </w:r>
      <w:hyperlink r:id="rId23">
        <w:r>
          <w:rPr>
            <w:rStyle w:val="Hyperlink"/>
          </w:rPr>
          <w:t xml:space="preserve">https://proceedings.mlr.press/v305/jang25a.html</w:t>
        </w:r>
      </w:hyperlink>
    </w:p>
    <w:bookmarkEnd w:id="24"/>
    <w:bookmarkStart w:id="26" w:name="ref_5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S. Morin, M. Byeon, A. Jolicoeur-Martineau, and S. Lachapelle,</w:t>
      </w:r>
      <w:r>
        <w:t xml:space="preserve"> </w:t>
      </w:r>
      <w:r>
        <w:t xml:space="preserve">“On the sample efficiency of inverse dynamics models for semi-supervised imitation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, 2026. Available:</w:t>
      </w:r>
      <w:r>
        <w:t xml:space="preserve"> </w:t>
      </w:r>
      <w:hyperlink r:id="rId25">
        <w:r>
          <w:rPr>
            <w:rStyle w:val="Hyperlink"/>
          </w:rPr>
          <w:t xml:space="preserve">https://arxiv.org/abs/2602.02762</w:t>
        </w:r>
      </w:hyperlink>
    </w:p>
    <w:bookmarkEnd w:id="26"/>
    <w:bookmarkStart w:id="28" w:name="ref_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F. Torabi, G. Warnell, and P. Stone,</w:t>
      </w:r>
      <w:r>
        <w:t xml:space="preserve"> </w:t>
      </w:r>
      <w:r>
        <w:t xml:space="preserve">“Behavioral cloning from observation,”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international joint conference on artificial intelligence</w:t>
      </w:r>
      <w:r>
        <w:t xml:space="preserve">, 2018, pp. 4950–4957. Available:</w:t>
      </w:r>
      <w:r>
        <w:t xml:space="preserve"> </w:t>
      </w:r>
      <w:hyperlink r:id="rId27">
        <w:r>
          <w:rPr>
            <w:rStyle w:val="Hyperlink"/>
          </w:rPr>
          <w:t xml:space="preserve">https://arxiv.org/abs/1805.01954</w:t>
        </w:r>
      </w:hyperlink>
    </w:p>
    <w:bookmarkEnd w:id="28"/>
    <w:bookmarkStart w:id="30" w:name="ref_7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Baker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“Video</w:t>
      </w:r>
      <w:r>
        <w:t xml:space="preserve"> </w:t>
      </w:r>
      <w:r>
        <w:t xml:space="preserve">PreTraining</w:t>
      </w:r>
      <w:r>
        <w:t xml:space="preserve"> </w:t>
      </w:r>
      <w:r>
        <w:t xml:space="preserve">(</w:t>
      </w:r>
      <w:r>
        <w:t xml:space="preserve">VPT</w:t>
      </w:r>
      <w:r>
        <w:t xml:space="preserve">): Learning to act by watching unlabeled online videos,”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2022. Available:</w:t>
      </w:r>
      <w:r>
        <w:t xml:space="preserve"> </w:t>
      </w:r>
      <w:hyperlink r:id="rId29">
        <w:r>
          <w:rPr>
            <w:rStyle w:val="Hyperlink"/>
          </w:rPr>
          <w:t xml:space="preserve">https://proceedings.neurips.cc/paper_files/paper/2022/hash/9c7008aff45b5d8f0973b23e1a22ada0-Abstract-Conference.html</w:t>
        </w:r>
      </w:hyperlink>
    </w:p>
    <w:bookmarkEnd w:id="30"/>
    <w:bookmarkStart w:id="32" w:name="ref_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Y. Ganin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“Domain-adversarial training of neural networks,”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17, no. 59, pp. 1–35, 2016, Available:</w:t>
      </w:r>
      <w:r>
        <w:t xml:space="preserve"> </w:t>
      </w:r>
      <w:hyperlink r:id="rId31">
        <w:r>
          <w:rPr>
            <w:rStyle w:val="Hyperlink"/>
          </w:rPr>
          <w:t xml:space="preserve">https://www.jmlr.org/papers/v17/15-239.html</w:t>
        </w:r>
      </w:hyperlink>
    </w:p>
    <w:bookmarkEnd w:id="32"/>
    <w:bookmarkStart w:id="34" w:name="ref_9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Zhao, R. Tachet des Combes, K. Zhang, and G. J. Gordon,</w:t>
      </w:r>
      <w:r>
        <w:t xml:space="preserve"> </w:t>
      </w:r>
      <w:r>
        <w:t xml:space="preserve">“On learning invariant representations for domain adaptation,”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36th international conference on machine learning</w:t>
      </w:r>
      <w:r>
        <w:t xml:space="preserve">, in Proceedings of machine learning research, vol. 97. 2019, pp. 7523–7532. Available:</w:t>
      </w:r>
      <w:r>
        <w:t xml:space="preserve"> </w:t>
      </w:r>
      <w:hyperlink r:id="rId33">
        <w:r>
          <w:rPr>
            <w:rStyle w:val="Hyperlink"/>
          </w:rPr>
          <w:t xml:space="preserve">https://proceedings.mlr.press/v97/zhao19a.html</w:t>
        </w:r>
      </w:hyperlink>
    </w:p>
    <w:bookmarkEnd w:id="34"/>
    <w:sectPr>
      <w:pgSz w:w="12240" w:h="15840"/>
      <w:pgMar w:top="1440" w:right="2160" w:bottom="1080" w:left="216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0"/>
        <w:szCs w:val="20"/>
        <w:lang w:val="en-US"/>
      </w:rPr>
    </w:rPrDefault>
    <w:pPrDefault>
      <w:pPr>
        <w:spacing w:after="8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jc w:val="both"/>
      <w:spacing w:before="0" w:after="20"/>
    </w:pPr>
  </w:style>
  <w:style w:type="paragraph" w:customStyle="1" w:styleId="FirstParagraph">
    <w:name w:val="First Paragraph"/>
    <w:basedOn w:val="BodyText"/>
    <w:next w:val="BodyText"/>
    <w:qFormat/>
    <w:pPr>
      <w:jc w:val="both"/>
    </w:pPr>
  </w:style>
  <w:style w:type="paragraph" w:customStyle="1" w:styleId="Compact">
    <w:name w:val="Compact"/>
    <w:basedOn w:val="BodyText"/>
    <w:qFormat/>
    <w:pPr>
      <w:jc w:val="both"/>
      <w:spacing w:before="0" w:after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80"/>
      <w:contextualSpacing/>
      <w:jc w:val="center"/>
    </w:pPr>
    <w:rPr>
      <w:rFonts w:ascii="Times New Roman" w:hAnsi="Times New Roman" w:eastAsia="Times New Roman" w:cs="Times New Roman"/>
      <w:b/>
      <w:bCs/>
      <w:color w:val="000000"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spacing w:before="0" w:after="80"/>
      <w:keepNext/>
      <w:keepLines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jc w:val="both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80" w:after="2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20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20"/>
      <w:outlineLvl w:val="2"/>
    </w:pPr>
    <w:rPr>
      <w:rFonts w:ascii="Times New Roman" w:hAnsi="Times New Roman" w:eastAsia="Times New Roman" w:cs="Times New Roman"/>
      <w:b/>
      <w:bCs/>
      <w:color w:val="000000"/>
      <w:sz w:val="20"/>
      <w:szCs w:val="2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00" w:after="20"/>
      <w:outlineLvl w:val="3"/>
    </w:pPr>
    <w:rPr>
      <w:rFonts w:ascii="Times New Roman" w:hAnsi="Times New Roman" w:eastAsia="Times New Roman" w:cs="Times New Roman"/>
      <w:b/>
      <w:bCs/>
      <w:color w:val="000000"/>
      <w:sz w:val="20"/>
      <w:szCs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jc w:val="both"/>
      <w:spacing w:before="0" w:after="8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  <w:style w:type="character" w:customStyle="1" w:styleId="TeamNote">
    <w:name w:val="Team Note"/>
    <w:basedOn w:val="DefaultParagraphFont"/>
    <w:rPr>
      <w:color w:val="FF0000"/>
    </w:rPr>
  </w:style>
  <w:style w:type="character" w:customStyle="1" w:styleId="TeamName">
    <w:name w:val="Team Name"/>
    <w:basedOn w:val="DefaultParagraphFont"/>
    <w:rPr>
      <w:color w:val="E06666"/>
    </w:rPr>
  </w:style>
  <w:style w:type="character" w:customStyle="1" w:styleId="TeamReview">
    <w:name w:val="Team Review"/>
    <w:basedOn w:val="DefaultParagraphFont"/>
    <w:rPr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arxiv.org/abs/1805.01954" TargetMode="External" /><Relationship Type="http://schemas.openxmlformats.org/officeDocument/2006/relationships/hyperlink" Id="rId19" Target="https://arxiv.org/abs/2403.12945" TargetMode="External" /><Relationship Type="http://schemas.openxmlformats.org/officeDocument/2006/relationships/hyperlink" Id="rId25" Target="https://arxiv.org/abs/2602.02762" TargetMode="External" /><Relationship Type="http://schemas.openxmlformats.org/officeDocument/2006/relationships/hyperlink" Id="rId17" Target="https://arxiv.org/abs/2610.07056" TargetMode="External" /><Relationship Type="http://schemas.openxmlformats.org/officeDocument/2006/relationships/hyperlink" Id="rId21" Target="https://doi.org/10.15607/RSS.2023.XIX.016" TargetMode="External" /><Relationship Type="http://schemas.openxmlformats.org/officeDocument/2006/relationships/hyperlink" Id="rId23" Target="https://proceedings.mlr.press/v305/jang25a.html" TargetMode="External" /><Relationship Type="http://schemas.openxmlformats.org/officeDocument/2006/relationships/hyperlink" Id="rId33" Target="https://proceedings.mlr.press/v97/zhao19a.html" TargetMode="External" /><Relationship Type="http://schemas.openxmlformats.org/officeDocument/2006/relationships/hyperlink" Id="rId29" Target="https://proceedings.neurips.cc/paper_files/paper/2022/hash/9c7008aff45b5d8f0973b23e1a22ada0-Abstract-Conference.html" TargetMode="External" /><Relationship Type="http://schemas.openxmlformats.org/officeDocument/2006/relationships/hyperlink" Id="rId31" Target="https://www.jmlr.org/papers/v17/15-239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rxiv.org/abs/1805.01954" TargetMode="External" /><Relationship Type="http://schemas.openxmlformats.org/officeDocument/2006/relationships/hyperlink" Id="rId19" Target="https://arxiv.org/abs/2403.12945" TargetMode="External" /><Relationship Type="http://schemas.openxmlformats.org/officeDocument/2006/relationships/hyperlink" Id="rId25" Target="https://arxiv.org/abs/2602.02762" TargetMode="External" /><Relationship Type="http://schemas.openxmlformats.org/officeDocument/2006/relationships/hyperlink" Id="rId17" Target="https://arxiv.org/abs/2610.07056" TargetMode="External" /><Relationship Type="http://schemas.openxmlformats.org/officeDocument/2006/relationships/hyperlink" Id="rId21" Target="https://doi.org/10.15607/RSS.2023.XIX.016" TargetMode="External" /><Relationship Type="http://schemas.openxmlformats.org/officeDocument/2006/relationships/hyperlink" Id="rId23" Target="https://proceedings.mlr.press/v305/jang25a.html" TargetMode="External" /><Relationship Type="http://schemas.openxmlformats.org/officeDocument/2006/relationships/hyperlink" Id="rId33" Target="https://proceedings.mlr.press/v97/zhao19a.html" TargetMode="External" /><Relationship Type="http://schemas.openxmlformats.org/officeDocument/2006/relationships/hyperlink" Id="rId29" Target="https://proceedings.neurips.cc/paper_files/paper/2022/hash/9c7008aff45b5d8f0973b23e1a22ada0-Abstract-Conference.html" TargetMode="External" /><Relationship Type="http://schemas.openxmlformats.org/officeDocument/2006/relationships/hyperlink" Id="rId31" Target="https://www.jmlr.org/papers/v17/15-239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to Manipulate a New Object from Action-Free Videos</dc:title>
  <dc:creator>Group 9 McGill University ECSE 552 — Project proposal</dc:creator>
  <cp:keywords/>
  <dcterms:created xsi:type="dcterms:W3CDTF">2026-10-11T22:20:55Z</dcterms:created>
  <dcterms:modified xsi:type="dcterms:W3CDTF">2026-10-11T22:20:55Z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../tools/ieee.csl</vt:lpwstr>
  </property>
  <property fmtid="{D5CDD505-2E9C-101B-9397-08002B2CF9AE}" pid="4" name="link-bibliography">
    <vt:lpwstr>True</vt:lpwstr>
  </property>
  <property fmtid="{D5CDD505-2E9C-101B-9397-08002B2CF9AE}" pid="5" name="link-citations">
    <vt:lpwstr>True</vt:lpwstr>
  </property>
  <property fmtid="{D5CDD505-2E9C-101B-9397-08002B2CF9AE}" pid="6" name="reference-section-title">
    <vt:lpwstr>References</vt:lpwstr>
  </property>
</Properties>
</file>