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E86267">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E86267">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E86267">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E86267">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E86267">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E86267">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t xml:space="preserve"> The available features of the chosen engine must be considered for the development of the project and, in the instance that a feature is missing, development time and importance level for that feature must be considered. </w:t>
      </w:r>
      <w:r w:rsidR="0092107E">
        <w:t>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Default="0036623B" w:rsidP="00E21802">
      <w:pPr>
        <w:ind w:firstLine="720"/>
      </w:pPr>
      <w:r>
        <w:t xml:space="preserve">Of the supported languages C# allows function overloading, JavaScript does not however which would </w:t>
      </w:r>
      <w:r w:rsidR="00E21802">
        <w:t>reduce the customisability of the software to a small degree, however the requirement of function overloading is not a complete necessity as instead of using the process of function overloading a simple case of multiple function names can be u</w:t>
      </w:r>
      <w:r w:rsidR="0041063D">
        <w:t>sed</w:t>
      </w:r>
      <w:r w:rsidR="00B407C9">
        <w:t xml:space="preserve"> </w:t>
      </w:r>
      <w:r w:rsidR="00B407C9">
        <w:rPr>
          <w:rStyle w:val="selectable"/>
        </w:rPr>
        <w:t>(</w:t>
      </w:r>
      <w:proofErr w:type="spellStart"/>
      <w:r w:rsidR="00B407C9">
        <w:rPr>
          <w:rStyle w:val="selectable"/>
        </w:rPr>
        <w:t>Rongala</w:t>
      </w:r>
      <w:proofErr w:type="spellEnd"/>
      <w:r w:rsidR="00B407C9">
        <w:rPr>
          <w:rStyle w:val="selectable"/>
        </w:rPr>
        <w:t>, 2017)</w:t>
      </w:r>
      <w:r w:rsidR="0041063D">
        <w:t>. Unity 3D also a particularly portable development environment allowing porting to</w:t>
      </w:r>
      <w:r w:rsidR="00E21802">
        <w:t xml:space="preserve">; virtual </w:t>
      </w:r>
      <w:r w:rsidR="00C27911">
        <w:t>reality, mobi</w:t>
      </w:r>
      <w:r w:rsidR="0041063D">
        <w:t xml:space="preserve">le (android and iOS), console, PC, Mac, Linux, </w:t>
      </w:r>
      <w:proofErr w:type="spellStart"/>
      <w:r w:rsidR="0041063D">
        <w:t>tvOS</w:t>
      </w:r>
      <w:proofErr w:type="spellEnd"/>
      <w:r w:rsidR="0041063D">
        <w:t xml:space="preserve">, </w:t>
      </w:r>
      <w:proofErr w:type="spellStart"/>
      <w:r w:rsidR="0041063D">
        <w:t>webGL</w:t>
      </w:r>
      <w:proofErr w:type="spellEnd"/>
      <w:r w:rsidR="0041063D">
        <w:t xml:space="preserve">, Samsung TV and PS Vita. </w:t>
      </w:r>
      <w:r w:rsidR="0064716C">
        <w:t xml:space="preserve">This portability can provide a great deal of outreach to </w:t>
      </w:r>
      <w:r w:rsidR="00B407C9">
        <w:t>a variety of commercial devices, allowing further development into a commercial marketplace in the instance this project proves successful.</w:t>
      </w:r>
    </w:p>
    <w:p w:rsidR="00B407C9" w:rsidRDefault="00B407C9" w:rsidP="00E21802">
      <w:pPr>
        <w:ind w:firstLine="720"/>
      </w:pPr>
      <w:r>
        <w:t>Unity 3D offers a standard set of classes for the development of games. These classes allow a simple and easy starting</w:t>
      </w:r>
      <w:r w:rsidR="00B12880">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C051D2" w:rsidRDefault="00831D39" w:rsidP="00F56535">
      <w:pPr>
        <w:ind w:firstLine="720"/>
      </w:pPr>
      <w:r>
        <w:lastRenderedPageBreak/>
        <w:t xml:space="preserve">Unity 3D provides 2 integrated physics engines, one for 2D physics and another for 3D physics. They both make use of </w:t>
      </w:r>
      <w:proofErr w:type="spellStart"/>
      <w:r>
        <w:t>rigidbody</w:t>
      </w:r>
      <w:proofErr w:type="spellEnd"/>
      <w:r>
        <w:t xml:space="preserve"> components (labelled as “</w:t>
      </w:r>
      <w:proofErr w:type="spellStart"/>
      <w:r>
        <w:t>Rigidbody</w:t>
      </w:r>
      <w:proofErr w:type="spellEnd"/>
      <w:r>
        <w:t xml:space="preserve"> 2D” in the case of 2D physics). The primary difference between the two physics engines is largely the addition of the extra dimension which allows the use of the Z axis</w:t>
      </w:r>
      <w:r w:rsidR="00F26EDA">
        <w:t xml:space="preserve"> </w:t>
      </w:r>
      <w:r w:rsidR="00F26EDA">
        <w:rPr>
          <w:rStyle w:val="selectable"/>
        </w:rPr>
        <w:t>(Technologies, 2017)</w:t>
      </w:r>
      <w:r>
        <w:t xml:space="preserve">. </w:t>
      </w:r>
      <w:r w:rsidR="00227E6B">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474925" w:rsidRDefault="0037008F" w:rsidP="00C051D2">
      <w:pPr>
        <w:pStyle w:val="Heading3"/>
      </w:pPr>
      <w:r>
        <w:tab/>
      </w:r>
      <w:r>
        <w:tab/>
      </w:r>
      <w:r w:rsidR="00C051D2">
        <w:t xml:space="preserve">3.2.2 </w:t>
      </w:r>
      <w:r>
        <w:t>Unreal</w:t>
      </w:r>
      <w:r w:rsidR="00C051D2">
        <w:t xml:space="preserve"> Engine 4</w:t>
      </w:r>
    </w:p>
    <w:p w:rsidR="00474925" w:rsidRDefault="00F56535">
      <w:r>
        <w:tab/>
        <w:t>Unreal Engine 4 is the primary game engine for the game development and publishing co</w:t>
      </w:r>
      <w:r w:rsidR="00EF0D50">
        <w:t>mpany, Epic Games. K</w:t>
      </w:r>
      <w:r>
        <w:t xml:space="preserve">nown for developing games such as; Unreal Tournament, the Gears of War series, </w:t>
      </w:r>
      <w:proofErr w:type="spellStart"/>
      <w:r w:rsidR="00EF0D50">
        <w:t>Bulletstorm</w:t>
      </w:r>
      <w:proofErr w:type="spellEnd"/>
      <w:r w:rsidR="00EF0D50">
        <w:t xml:space="preserve"> and Paragon. All developed in the unreal engine, these games show intuitive use of physics, lighting and mechanical techniques that the unreal eng</w:t>
      </w:r>
      <w:r w:rsidR="00C24872">
        <w:t xml:space="preserve">ine provides. The engine itself is written in C++ as with Unity3D allowing it to also have a high degree of portability and reduced </w:t>
      </w:r>
      <w:bookmarkStart w:id="19" w:name="_GoBack"/>
      <w:bookmarkEnd w:id="19"/>
      <w:r w:rsidR="00C24872">
        <w:t>compile time.</w:t>
      </w:r>
    </w:p>
    <w:p w:rsidR="00474925" w:rsidRDefault="00C24872" w:rsidP="00EF3F82">
      <w:r>
        <w:tab/>
        <w:t>Unreal supports C++ as a development langu</w:t>
      </w:r>
      <w:r w:rsidR="00AA40B0">
        <w:t xml:space="preserve">age for the basis of blueprint classes. The blueprint system is a visual scripting system to allow classes to be created in an innovative manner. The blueprints system uses visual blocks of code to show functions and references to variables </w:t>
      </w:r>
      <w:r w:rsidR="00AA40B0">
        <w:rPr>
          <w:rStyle w:val="selectable"/>
        </w:rPr>
        <w:t>(Games, 2017)</w:t>
      </w:r>
      <w:r w:rsidR="00AA40B0">
        <w:t>.</w:t>
      </w:r>
      <w:r w:rsidR="00EF3F82">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t xml:space="preserve">designers would be required for the creation of features. </w:t>
      </w:r>
    </w:p>
    <w:p w:rsidR="00E86267" w:rsidRDefault="00E86267" w:rsidP="00E86267">
      <w:pPr>
        <w:pStyle w:val="Heading2"/>
      </w:pPr>
      <w:r>
        <w:tab/>
        <w:t>3.3 Development Platform</w:t>
      </w:r>
    </w:p>
    <w:p w:rsidR="00474925" w:rsidRDefault="0037008F">
      <w:r>
        <w:tab/>
      </w:r>
      <w:r>
        <w:tab/>
        <w:t>Oculus touch</w:t>
      </w:r>
    </w:p>
    <w:p w:rsidR="00474925" w:rsidRDefault="0037008F">
      <w:r>
        <w:tab/>
      </w:r>
      <w:r>
        <w:tab/>
      </w:r>
      <w:proofErr w:type="spellStart"/>
      <w:r>
        <w:t>Playstation</w:t>
      </w:r>
      <w:proofErr w:type="spellEnd"/>
      <w:r>
        <w:t xml:space="preserve"> VR</w:t>
      </w:r>
    </w:p>
    <w:p w:rsidR="00474925" w:rsidRDefault="0037008F">
      <w:r>
        <w:tab/>
      </w:r>
      <w:r>
        <w:tab/>
        <w:t>Google Daydream</w:t>
      </w:r>
    </w:p>
    <w:p w:rsidR="00474925" w:rsidRDefault="0037008F" w:rsidP="00F26EDA">
      <w:r>
        <w:tab/>
      </w:r>
      <w:r>
        <w:tab/>
      </w:r>
      <w:r w:rsidR="00F26EDA">
        <w:t>Computer</w:t>
      </w:r>
    </w:p>
    <w:p w:rsidR="00474925" w:rsidRDefault="0037008F">
      <w:r>
        <w:tab/>
      </w:r>
      <w:r>
        <w:tab/>
        <w:t>Mobile</w:t>
      </w:r>
    </w:p>
    <w:p w:rsidR="00474925" w:rsidRDefault="00474925"/>
    <w:p w:rsidR="00474925" w:rsidRDefault="0037008F" w:rsidP="006B15E8">
      <w:pPr>
        <w:pStyle w:val="Heading2"/>
      </w:pPr>
      <w:r>
        <w:tab/>
      </w:r>
      <w:bookmarkStart w:id="20" w:name="_Toc497125689"/>
      <w:r w:rsidR="006B15E8">
        <w:t xml:space="preserve">3.4 </w:t>
      </w:r>
      <w:r>
        <w:t>Blindness in gaming</w:t>
      </w:r>
      <w:bookmarkEnd w:id="20"/>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1" w:name="_Toc497125690"/>
      <w:r>
        <w:lastRenderedPageBreak/>
        <w:t xml:space="preserve">4.0 </w:t>
      </w:r>
      <w:r w:rsidR="0037008F">
        <w:t>Methods</w:t>
      </w:r>
      <w:bookmarkEnd w:id="21"/>
    </w:p>
    <w:p w:rsidR="00474925" w:rsidRDefault="0037008F" w:rsidP="006B15E8">
      <w:pPr>
        <w:pStyle w:val="Heading2"/>
      </w:pPr>
      <w:r>
        <w:tab/>
      </w:r>
      <w:bookmarkStart w:id="22" w:name="_Toc497125691"/>
      <w:r w:rsidR="006B15E8">
        <w:t xml:space="preserve">4.1 </w:t>
      </w:r>
      <w:r>
        <w:t>Dev methods</w:t>
      </w:r>
      <w:bookmarkEnd w:id="22"/>
    </w:p>
    <w:p w:rsidR="00474925" w:rsidRDefault="0037008F" w:rsidP="006B15E8">
      <w:pPr>
        <w:pStyle w:val="Heading2"/>
      </w:pPr>
      <w:r>
        <w:tab/>
      </w:r>
      <w:bookmarkStart w:id="23" w:name="_Toc497125692"/>
      <w:r w:rsidR="006B15E8">
        <w:t xml:space="preserve">4.2 </w:t>
      </w:r>
      <w:r>
        <w:t>Experiment methods</w:t>
      </w:r>
      <w:bookmarkEnd w:id="23"/>
    </w:p>
    <w:p w:rsidR="00474925" w:rsidRDefault="0037008F" w:rsidP="006B15E8">
      <w:pPr>
        <w:pStyle w:val="Heading2"/>
      </w:pPr>
      <w:r>
        <w:tab/>
      </w:r>
      <w:bookmarkStart w:id="24" w:name="_Toc497125693"/>
      <w:r w:rsidR="006B15E8">
        <w:t xml:space="preserve">4.3 </w:t>
      </w:r>
      <w:r>
        <w:t>Evaluation Methods</w:t>
      </w:r>
      <w:bookmarkEnd w:id="24"/>
    </w:p>
    <w:p w:rsidR="00474925" w:rsidRDefault="00474925"/>
    <w:p w:rsidR="00474925" w:rsidRDefault="00474925"/>
    <w:p w:rsidR="00474925" w:rsidRDefault="006B15E8" w:rsidP="006B15E8">
      <w:pPr>
        <w:pStyle w:val="Heading1"/>
      </w:pPr>
      <w:bookmarkStart w:id="25" w:name="_Toc497125694"/>
      <w:r>
        <w:t xml:space="preserve">5.0 </w:t>
      </w:r>
      <w:r w:rsidR="0037008F">
        <w:t>Remaining tasks</w:t>
      </w:r>
      <w:bookmarkEnd w:id="25"/>
    </w:p>
    <w:p w:rsidR="00474925" w:rsidRDefault="0037008F" w:rsidP="006B15E8">
      <w:pPr>
        <w:pStyle w:val="Heading2"/>
      </w:pPr>
      <w:r>
        <w:tab/>
      </w:r>
      <w:bookmarkStart w:id="26" w:name="_Toc497125695"/>
      <w:r w:rsidR="006B15E8">
        <w:t xml:space="preserve">5.1 </w:t>
      </w:r>
      <w:r>
        <w:t>Finish Development and debugging</w:t>
      </w:r>
      <w:bookmarkEnd w:id="26"/>
    </w:p>
    <w:p w:rsidR="00474925" w:rsidRDefault="0037008F" w:rsidP="006B15E8">
      <w:pPr>
        <w:pStyle w:val="Heading2"/>
      </w:pPr>
      <w:r>
        <w:tab/>
      </w:r>
      <w:bookmarkStart w:id="27" w:name="_Toc497125696"/>
      <w:r w:rsidR="006B15E8">
        <w:t xml:space="preserve">5.2 </w:t>
      </w:r>
      <w:r>
        <w:t>Experiment carry out</w:t>
      </w:r>
      <w:bookmarkEnd w:id="27"/>
    </w:p>
    <w:p w:rsidR="00474925" w:rsidRDefault="0037008F" w:rsidP="006B15E8">
      <w:pPr>
        <w:pStyle w:val="Heading2"/>
      </w:pPr>
      <w:r>
        <w:tab/>
      </w:r>
      <w:bookmarkStart w:id="28" w:name="_Toc497125697"/>
      <w:r w:rsidR="006B15E8">
        <w:t xml:space="preserve">5.3 </w:t>
      </w:r>
      <w:r>
        <w:t>Final report</w:t>
      </w:r>
      <w:bookmarkEnd w:id="28"/>
    </w:p>
    <w:p w:rsidR="00474925" w:rsidRDefault="0037008F" w:rsidP="006B15E8">
      <w:pPr>
        <w:pStyle w:val="Heading2"/>
      </w:pPr>
      <w:r>
        <w:tab/>
      </w:r>
      <w:bookmarkStart w:id="29" w:name="_Toc497125698"/>
      <w:r w:rsidR="006B15E8">
        <w:t xml:space="preserve">5.4 </w:t>
      </w:r>
      <w:r>
        <w:t>Presentation</w:t>
      </w:r>
      <w:bookmarkEnd w:id="29"/>
    </w:p>
    <w:p w:rsidR="00474925" w:rsidRDefault="0037008F" w:rsidP="006B15E8">
      <w:pPr>
        <w:pStyle w:val="Heading1"/>
      </w:pPr>
      <w:r>
        <w:br/>
      </w:r>
      <w:bookmarkStart w:id="30" w:name="_Toc497125699"/>
      <w:r w:rsidR="006B15E8">
        <w:t xml:space="preserve">6.0 </w:t>
      </w:r>
      <w:r>
        <w:t>Appendices</w:t>
      </w:r>
      <w:bookmarkEnd w:id="30"/>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Pr>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pPr>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pPr>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sectPr w:rsidR="00AA40B0">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46DBF"/>
    <w:rsid w:val="001036B7"/>
    <w:rsid w:val="00190D07"/>
    <w:rsid w:val="00227E6B"/>
    <w:rsid w:val="002B790A"/>
    <w:rsid w:val="00365F83"/>
    <w:rsid w:val="0036623B"/>
    <w:rsid w:val="0037008F"/>
    <w:rsid w:val="0041063D"/>
    <w:rsid w:val="00474925"/>
    <w:rsid w:val="00540745"/>
    <w:rsid w:val="005B04F7"/>
    <w:rsid w:val="005C3113"/>
    <w:rsid w:val="0064716C"/>
    <w:rsid w:val="00652BCF"/>
    <w:rsid w:val="00686945"/>
    <w:rsid w:val="006B15E8"/>
    <w:rsid w:val="006C7D92"/>
    <w:rsid w:val="00703B8C"/>
    <w:rsid w:val="00802311"/>
    <w:rsid w:val="00831D39"/>
    <w:rsid w:val="0092107E"/>
    <w:rsid w:val="009866EC"/>
    <w:rsid w:val="009A41B3"/>
    <w:rsid w:val="009C359A"/>
    <w:rsid w:val="00AA40B0"/>
    <w:rsid w:val="00B12880"/>
    <w:rsid w:val="00B407C9"/>
    <w:rsid w:val="00C051D2"/>
    <w:rsid w:val="00C24872"/>
    <w:rsid w:val="00C27911"/>
    <w:rsid w:val="00CD38A6"/>
    <w:rsid w:val="00CE650D"/>
    <w:rsid w:val="00D675A2"/>
    <w:rsid w:val="00DD104B"/>
    <w:rsid w:val="00E21802"/>
    <w:rsid w:val="00E515A5"/>
    <w:rsid w:val="00E86267"/>
    <w:rsid w:val="00EB0A7E"/>
    <w:rsid w:val="00EF0D50"/>
    <w:rsid w:val="00EF3F82"/>
    <w:rsid w:val="00F26EDA"/>
    <w:rsid w:val="00F515EA"/>
    <w:rsid w:val="00F5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38B5-E67C-4809-AB01-8A1FDB06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3867</TotalTime>
  <Pages>9</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cp:revision>
  <cp:lastPrinted>2017-10-30T11:19:00Z</cp:lastPrinted>
  <dcterms:created xsi:type="dcterms:W3CDTF">2017-10-27T22:14:00Z</dcterms:created>
  <dcterms:modified xsi:type="dcterms:W3CDTF">2017-11-03T10:49:00Z</dcterms:modified>
</cp:coreProperties>
</file>