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425.19685039370086" w:right="-466.062992125984" w:hanging="420"/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47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73.5"/>
        <w:gridCol w:w="4673.5"/>
        <w:tblGridChange w:id="0">
          <w:tblGrid>
            <w:gridCol w:w="4673.5"/>
            <w:gridCol w:w="4673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ind w:right="-466.062992125984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Название проекта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ind w:right="-466.062992125984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Обработка E-commerce транзакций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ind w:right="-466.062992125984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Название продукта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ind w:right="-466.062992125984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Эквайринг e-commerce транзакции</w:t>
            </w:r>
          </w:p>
        </w:tc>
      </w:tr>
    </w:tbl>
    <w:p w:rsidR="00000000" w:rsidDel="00000000" w:rsidP="00000000" w:rsidRDefault="00000000" w:rsidRPr="00000000" w14:paraId="00000006">
      <w:pPr>
        <w:ind w:right="-466.062992125984"/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-425.19685039370086" w:right="-466.062992125984" w:hanging="420"/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-425.19685039370086" w:right="-466.062992125984" w:hanging="420"/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Требования к системе</w:t>
      </w:r>
    </w:p>
    <w:p w:rsidR="00000000" w:rsidDel="00000000" w:rsidP="00000000" w:rsidRDefault="00000000" w:rsidRPr="00000000" w14:paraId="00000009">
      <w:pPr>
        <w:ind w:left="-425.19685039370086" w:right="-466.062992125984" w:hanging="420"/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-425.19685039370086" w:right="-466.062992125984" w:hanging="4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Версия документа: 0.2</w:t>
      </w:r>
    </w:p>
    <w:p w:rsidR="00000000" w:rsidDel="00000000" w:rsidP="00000000" w:rsidRDefault="00000000" w:rsidRPr="00000000" w14:paraId="0000000B">
      <w:pPr>
        <w:ind w:left="-425.19685039370086" w:right="-466.062992125984" w:hanging="4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-425.19685039370086" w:right="-466.062992125984" w:hanging="4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-425.19685039370086" w:right="-466.062992125984" w:hanging="4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-425.19685039370086" w:right="-466.062992125984" w:hanging="4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-425.19685039370086" w:right="-466.062992125984" w:hanging="4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-425.19685039370086" w:right="-466.062992125984" w:hanging="4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-425.19685039370086" w:right="-466.062992125984" w:hanging="4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-425.19685039370086" w:right="-466.062992125984" w:hanging="4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-425.19685039370086" w:right="-466.062992125984" w:hanging="4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-425.19685039370086" w:right="-466.062992125984" w:hanging="4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-425.19685039370086" w:right="-466.062992125984" w:hanging="4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-425.19685039370086" w:right="-466.062992125984" w:hanging="4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-425.19685039370086" w:right="-466.062992125984" w:hanging="4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-425.19685039370086" w:right="-466.062992125984" w:hanging="4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-425.19685039370086" w:right="-466.062992125984" w:hanging="4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-425.19685039370086" w:right="-466.062992125984" w:hanging="4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-425.19685039370086" w:right="-466.062992125984" w:hanging="4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-425.19685039370086" w:right="-466.062992125984" w:hanging="4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-425.19685039370086" w:right="-466.062992125984" w:hanging="4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-425.19685039370086" w:right="-466.062992125984" w:hanging="4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-425.19685039370086" w:right="-466.062992125984" w:hanging="4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-425.19685039370086" w:right="-466.062992125984" w:hanging="4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-425.19685039370086" w:right="-466.062992125984" w:hanging="4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-425.19685039370086" w:right="-466.062992125984" w:hanging="4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-425.19685039370086" w:right="-466.062992125984" w:hanging="4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-425.19685039370086" w:right="-466.062992125984" w:hanging="4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Дата: 01.07.2020</w:t>
      </w:r>
    </w:p>
    <w:p w:rsidR="00000000" w:rsidDel="00000000" w:rsidP="00000000" w:rsidRDefault="00000000" w:rsidRPr="00000000" w14:paraId="00000025">
      <w:pPr>
        <w:ind w:left="-425.19685039370086" w:right="-466.062992125984" w:hanging="4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Подготовлено Пушкиным Никитой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-425.19685039370086" w:right="-466.062992125984" w:hanging="420"/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Вступление</w:t>
      </w:r>
    </w:p>
    <w:p w:rsidR="00000000" w:rsidDel="00000000" w:rsidP="00000000" w:rsidRDefault="00000000" w:rsidRPr="00000000" w14:paraId="00000027">
      <w:pPr>
        <w:ind w:left="-425.19685039370086" w:right="-466.062992125984" w:hanging="420"/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-850.3937007874016" w:right="-861.2598425196836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Данный документ описывает требования к системе приложения “Эквайринг e-commerce транзакции”. Продукт состоит из таких компонентов, как страница приема платежных данных, страница просмотра статуса страница для просмотра прошедших транзакций, база данных и серверное приложения, обрабатывающее все входящие и выходящие запросы.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-850.3937007874016" w:right="-861.2598425196836" w:firstLine="0"/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Требования</w:t>
      </w:r>
    </w:p>
    <w:p w:rsidR="00000000" w:rsidDel="00000000" w:rsidP="00000000" w:rsidRDefault="00000000" w:rsidRPr="00000000" w14:paraId="0000002A">
      <w:pPr>
        <w:ind w:left="-850.3937007874016" w:right="-861.2598425196836" w:firstLine="0"/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-850.3937007874016" w:right="-861.2598425196836" w:firstLine="0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Страница ввода платежной информации</w:t>
      </w:r>
    </w:p>
    <w:p w:rsidR="00000000" w:rsidDel="00000000" w:rsidP="00000000" w:rsidRDefault="00000000" w:rsidRPr="00000000" w14:paraId="0000002C">
      <w:pPr>
        <w:ind w:left="-850.3937007874016" w:right="-861.2598425196836" w:firstLine="0"/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-708.6614173228347" w:right="-861.2598425196836" w:hanging="1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Страница ввода платежной информации должна содержать поля для ввода номера карты, срока действия (отдельные поля для года и месяца), имени держателя карты (отдельные поля для имени и фамилии, допустимы только латинские буквы), CVV2. Номер квитанции (содержит дату создания и сумму) передается в параметрах URL</w:t>
      </w:r>
    </w:p>
    <w:p w:rsidR="00000000" w:rsidDel="00000000" w:rsidP="00000000" w:rsidRDefault="00000000" w:rsidRPr="00000000" w14:paraId="0000002E">
      <w:pPr>
        <w:ind w:left="720" w:right="-861.2598425196836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720" w:right="-861.2598425196836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-566.9291338582677" w:right="-861.2598425196836" w:firstLine="0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Страница с прошедшими транзакциями</w:t>
      </w:r>
    </w:p>
    <w:p w:rsidR="00000000" w:rsidDel="00000000" w:rsidP="00000000" w:rsidRDefault="00000000" w:rsidRPr="00000000" w14:paraId="00000031">
      <w:pPr>
        <w:ind w:right="-861.2598425196836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-708.6614173228347" w:right="-861.2598425196836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Страница статуса транзакции должна содержать таблицу с полями: ID транзакции, номер карты, имя владельца, сумма перевода, дата перевода, код ответа от банка, дата получения кода ответа.</w:t>
      </w:r>
    </w:p>
    <w:p w:rsidR="00000000" w:rsidDel="00000000" w:rsidP="00000000" w:rsidRDefault="00000000" w:rsidRPr="00000000" w14:paraId="00000033">
      <w:pPr>
        <w:ind w:right="-861.2598425196836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right="-861.2598425196836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right="-861.2598425196836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right="-861.2598425196836"/>
        <w:jc w:val="center"/>
        <w:rPr>
          <w:sz w:val="36"/>
          <w:szCs w:val="36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36"/>
          <w:szCs w:val="36"/>
          <w:rtl w:val="0"/>
        </w:rPr>
        <w:t xml:space="preserve">Порядок взаимодействие с платежной системой</w:t>
      </w:r>
    </w:p>
    <w:p w:rsidR="00000000" w:rsidDel="00000000" w:rsidP="00000000" w:rsidRDefault="00000000" w:rsidRPr="00000000" w14:paraId="00000037">
      <w:pPr>
        <w:ind w:right="-861.2598425196836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-708.6614173228347" w:right="-861.2598425196836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После получения платежной информации, из номера карты извлекается BIN. Приложение определяет банк, соответствующий данному BIN, и отправляет ему запрос, содержащий платежную информацию. После получения кода ответа от банка, статус соответствующей транзакции обновляется.</w:t>
      </w:r>
    </w:p>
    <w:p w:rsidR="00000000" w:rsidDel="00000000" w:rsidP="00000000" w:rsidRDefault="00000000" w:rsidRPr="00000000" w14:paraId="00000039">
      <w:pPr>
        <w:ind w:left="-708.6614173228347" w:right="-861.2598425196836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-708.6614173228347" w:right="-861.2598425196836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-708.6614173228347" w:right="-861.2598425196836" w:firstLine="0"/>
        <w:jc w:val="center"/>
        <w:rPr>
          <w:sz w:val="36"/>
          <w:szCs w:val="36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36"/>
          <w:szCs w:val="36"/>
          <w:rtl w:val="0"/>
        </w:rPr>
        <w:t xml:space="preserve">Поведение в случае различных успешных и неуспешных кодов ответа от платежной системы</w:t>
      </w:r>
    </w:p>
    <w:p w:rsidR="00000000" w:rsidDel="00000000" w:rsidP="00000000" w:rsidRDefault="00000000" w:rsidRPr="00000000" w14:paraId="0000003C">
      <w:pPr>
        <w:ind w:right="-861.2598425196836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right="-861.2598425196836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-708.6614173228347" w:right="-861.2598425196836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Ответ от платежной страницы (положительный или отрицательный) сохраняется в базе данных.</w:t>
      </w:r>
    </w:p>
    <w:p w:rsidR="00000000" w:rsidDel="00000000" w:rsidP="00000000" w:rsidRDefault="00000000" w:rsidRPr="00000000" w14:paraId="0000003F">
      <w:pPr>
        <w:ind w:left="-708.6614173228347" w:right="-861.2598425196836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-708.6614173228347" w:right="-861.2598425196836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-708.6614173228347" w:right="-861.2598425196836" w:firstLine="0"/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-708.6614173228347" w:right="-861.2598425196836" w:firstLine="0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Данные, хранящиеся по каждой транзакции</w:t>
      </w:r>
    </w:p>
    <w:p w:rsidR="00000000" w:rsidDel="00000000" w:rsidP="00000000" w:rsidRDefault="00000000" w:rsidRPr="00000000" w14:paraId="00000043">
      <w:pPr>
        <w:ind w:left="-708.6614173228347" w:right="-861.2598425196836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right="-861.2598425196836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-708.6614173228347" w:right="-861.2598425196836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Для каждой транзакции необходимо хранить следующие данные: ID транзакции, номер карты, ID квитанции (invoice), имя владельца, сумма перевода, дата перевода, код ответа от банка, дата получения кода ответа.</w:t>
      </w:r>
    </w:p>
    <w:p w:rsidR="00000000" w:rsidDel="00000000" w:rsidP="00000000" w:rsidRDefault="00000000" w:rsidRPr="00000000" w14:paraId="00000046">
      <w:pPr>
        <w:ind w:right="-861.2598425196836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right="-861.2598425196836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right="-861.2598425196836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right="-861.2598425196836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right="-861.2598425196836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right="-861.2598425196836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right="-861.2598425196836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right="-861.2598425196836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right="-861.2598425196836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right="-861.2598425196836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right="-861.2598425196836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right="-861.2598425196836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right="-861.2598425196836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17.3228346456694" w:right="1145.669291338583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