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09/10/2024  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Dimos los últimos detalles a la página web.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Revisamos que todas las historias de usuario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cumplan correctamente: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Comprobación de la funcionalidad de reservas de canchas.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del sistema de notificaciones.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la autenticación de usuarios y gestión de cuentas.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las vistas de calificaciones y comentarios.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 de la gestión de canchas por parte de los administradores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el Sprint 1.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Review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presentar las funcionalidades completadas y documentar los avances.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Posibles detalles menores en la funcionalidad de notificaciones automáticas.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Alguna inconsistencia en el manejo de imágenes y datos de reservas desde el frontend con Supabase.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limitado para realizar pruebas exhaustivas antes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Review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con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que incluirá: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de la API de geolocalización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del método de pago Transbank.</w:t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Alertas y reportes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cE/rFJN/Or6Tz49NxhweMs/Dw==">CgMxLjA4AHIhMVcyR2xfMklkVFRocC0zM0owbmtMa0owcHZsay1uVlk5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