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AfriReVision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Phase 1 — Business Analysis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Problem, vision, stakeholders, requirements, risks and compliance</w:t>
      </w:r>
    </w:p>
    <w:p>
      <w:pPr>
        <w:spacing w:after="24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Enterprise Reinsurance Management Platform — July 2026</w:t>
      </w:r>
    </w:p>
    <w:p>
      <w:r>
        <w:br w:type="page"/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AfriReVision — Enterprise Reinsurance Management Platform.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Prepared per BABOK v3 practice; feeds the PRD (Phase 2).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AfriReVision digitises the full technical lifecycle of a reinsurance company — underwriting, treaty administration, claims, actuarial reserving, pricing, retrocession, accounting, and IFRS 17 reporting — in one integrated platform. A fully functional client-side implementation already exists (React/TypeScript, 9 modules, pure calculation engines, admin-managed feature access). This programme takes it to production: a secure multi-user backend, real persistence, enforced role-based access, and regulated-grade controls.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Problem Statement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African reinsurers predominantly run on spreadsheets and disconnected legacy systems. Consequences: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Premium/claims data re-keyed between underwriting, claims, and finance — errors and delay.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Reserving and IFRS 17 measurement done quarterly in ad-hoc models with no audit trail.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Retrocession recoveries missed because outward covers are not linked to inward claims.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No single view of exposure, counterparty concentration, or rate adequacy.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Regulator submissions (solvency, IFRS 17) assembled manually under deadline pressure.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Business Case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Reduce operational cost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Eliminate re-keying; derived accounting means finance never reconciles to operations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Reduce leakage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Automatic retro recovery identification on every claim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Faster close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IFRS 17 and statements generated from live data, not rebuilt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Better pricing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Credibility-blended actuarial pricing + explainable AI advisory on every quote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Compliance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 audit trail, maker-checker, enforced access control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Build-vs-buy: incumbent packages (SICS, WebXL, etc.) are costly, heavy to localise (currencies, LOB mix, IFRS 17 PAA practice) and overshoot small/mid African reinsurers. A tailored platform with a modern stack is cheaper over 5 years and owns its roadmap.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 Project Vision</w:t>
      </w:r>
    </w:p>
    <w:p>
      <w:pPr>
        <w:pBdr>
          <w:left w:val="single" w:color="1F4E79" w:sz="12"/>
        </w:pBdr>
        <w:spacing w:after="120" w:before="120"/>
        <w:ind w:left="48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The operating system for an African reinsurer: every contract, claim, cession and cent flows through one governed platform, and every figure — reserve, price, journal, disclosure — is computed, explained, and auditable.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 Success Criteria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100% of inward business and claims administered in the platform (no shadow spreadsheets) within 6 months of go-live.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Monthly close ≤ 5 working days; IFRS 17 quarterly pack produced from the system.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Zero claims settled without retro recovery evaluation.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 </w:t>
      </w:r>
      <w:r>
        <w:rPr>
          <w:rFonts w:ascii="Calibri" w:cs="Calibri" w:eastAsia="Calibri" w:hAnsi="Calibri"/>
          <w:sz w:val="20"/>
          <w:szCs w:val="20"/>
        </w:rPr>
        <w:t xml:space="preserve">All users on least-privilege module access; every mutation in the audit trail.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5. </w:t>
      </w:r>
      <w:r>
        <w:rPr>
          <w:rFonts w:ascii="Calibri" w:cs="Calibri" w:eastAsia="Calibri" w:hAnsi="Calibri"/>
          <w:sz w:val="20"/>
          <w:szCs w:val="20"/>
        </w:rPr>
        <w:t xml:space="preserve">99.5% availability during business hours; RPO ≤ 15 min, RTO ≤ 4 h.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 Stakeholder Analysis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Influence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Managing Director / Board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Portfolio performance, solvency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Monthly steering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Chief Underwriting Officer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Underwriting &amp; pricing workflow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 owner (business)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Finance Manager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GL integrity, close, statements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 reviews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Chief Actuary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Reserving &amp; IFRS 17 correctness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Method sign-off gates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Claims Manager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Claims lifecycle, recoveries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 reviews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IT / System Administrator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Operability, access management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DevOps counterpart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Regulator (e.g. TIRA/IRA/NAICOM)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Solvency &amp; IFRS 17 reporting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(indirect)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Compliance requirements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Cedants &amp; brokers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Statements, settlements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Outputs only (Phase 3 portal)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Retrocessionaires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Placement data, recoveries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Outputs only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 User Personas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Amina — Underwriter.</w:t>
      </w:r>
      <w:r>
        <w:rPr>
          <w:rFonts w:ascii="Calibri" w:cs="Calibri" w:eastAsia="Calibri" w:hAnsi="Calibri"/>
          <w:sz w:val="20"/>
          <w:szCs w:val="20"/>
        </w:rPr>
        <w:t xml:space="preserve"> Captures inward contracts, prices treaties, negotiates terms. Needs: fast capture, pricing with defensible numbers, treaty view. Modules: Underwriting, Pricing, Treaties, Retrocession.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Joseph — Claims Officer.</w:t>
      </w:r>
      <w:r>
        <w:rPr>
          <w:rFonts w:ascii="Calibri" w:cs="Calibri" w:eastAsia="Calibri" w:hAnsi="Calibri"/>
          <w:sz w:val="20"/>
          <w:szCs w:val="20"/>
        </w:rPr>
        <w:t xml:space="preserve"> Registers and settles claims, tracks recoveries. Needs: treaty auto-linking, layer allocation, settlement workflow. Modules: Claims, Treaties.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Grace — Accountant.</w:t>
      </w:r>
      <w:r>
        <w:rPr>
          <w:rFonts w:ascii="Calibri" w:cs="Calibri" w:eastAsia="Calibri" w:hAnsi="Calibri"/>
          <w:sz w:val="20"/>
          <w:szCs w:val="20"/>
        </w:rPr>
        <w:t xml:space="preserve"> Books cash, reconciles bank, produces TB and statements. Needs: derived journals, receivables aging, multi-currency. Modules: Accounting, Treaties.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Daniel — Actuary.</w:t>
      </w:r>
      <w:r>
        <w:rPr>
          <w:rFonts w:ascii="Calibri" w:cs="Calibri" w:eastAsia="Calibri" w:hAnsi="Calibri"/>
          <w:sz w:val="20"/>
          <w:szCs w:val="20"/>
        </w:rPr>
        <w:t xml:space="preserve"> Quarterly reserving, IFRS 17 measurement, pricing review. Needs: triangles, method comparison, assumption governance. Modules: Actuarial, Pricing, IFRS 17.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Neema — Finance Manager.</w:t>
      </w:r>
      <w:r>
        <w:rPr>
          <w:rFonts w:ascii="Calibri" w:cs="Calibri" w:eastAsia="Calibri" w:hAnsi="Calibri"/>
          <w:sz w:val="20"/>
          <w:szCs w:val="20"/>
        </w:rPr>
        <w:t xml:space="preserve"> Close, statements, retro security. Modules: Accounting, IFRS 17, Retrocession, Treaties.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6.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Ibrahim — System Administrator.</w:t>
      </w:r>
      <w:r>
        <w:rPr>
          <w:rFonts w:ascii="Calibri" w:cs="Calibri" w:eastAsia="Calibri" w:hAnsi="Calibri"/>
          <w:sz w:val="20"/>
          <w:szCs w:val="20"/>
        </w:rPr>
        <w:t xml:space="preserve"> Creates accounts, grants module access, monitors audit log. Modules: Administration (+all for support).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7.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The MD.</w:t>
      </w:r>
      <w:r>
        <w:rPr>
          <w:rFonts w:ascii="Calibri" w:cs="Calibri" w:eastAsia="Calibri" w:hAnsi="Calibri"/>
          <w:sz w:val="20"/>
          <w:szCs w:val="20"/>
        </w:rPr>
        <w:t xml:space="preserve"> Read-oriented executive view across all modules.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8. User Journey Mapping (core journeys)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Inward contract → treaty:</w:t>
      </w:r>
      <w:r>
        <w:rPr>
          <w:rFonts w:ascii="Calibri" w:cs="Calibri" w:eastAsia="Calibri" w:hAnsi="Calibri"/>
          <w:sz w:val="20"/>
          <w:szCs w:val="20"/>
        </w:rPr>
        <w:t xml:space="preserve"> Amina captures contract → validates terms → converts to treaty → premium schedule created → Grace sees receivable automatically.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Claim lifecycle:</w:t>
      </w:r>
      <w:r>
        <w:rPr>
          <w:rFonts w:ascii="Calibri" w:cs="Calibri" w:eastAsia="Calibri" w:hAnsi="Calibri"/>
          <w:sz w:val="20"/>
          <w:szCs w:val="20"/>
        </w:rPr>
        <w:t xml:space="preserve"> Joseph registers claim vs treaty → layer allocation computed → reserve booked → retro recovery computed across programmes → settlement → journals derived → recovery notified to retrocessionaire.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Quarterly close:</w:t>
      </w:r>
      <w:r>
        <w:rPr>
          <w:rFonts w:ascii="Calibri" w:cs="Calibri" w:eastAsia="Calibri" w:hAnsi="Calibri"/>
          <w:sz w:val="20"/>
          <w:szCs w:val="20"/>
        </w:rPr>
        <w:t xml:space="preserve"> Daniel locks triangles → selects method → IBNR flows to LIC and journals → Neema runs TB and statements → IFRS 17 pack exported → period closed (balances frozen).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Pricing a renewal:</w:t>
      </w:r>
      <w:r>
        <w:rPr>
          <w:rFonts w:ascii="Calibri" w:cs="Calibri" w:eastAsia="Calibri" w:hAnsi="Calibri"/>
          <w:sz w:val="20"/>
          <w:szCs w:val="20"/>
        </w:rPr>
        <w:t xml:space="preserve"> Amina recalls cedant history (incl. imported experience) → runs methods → reviews AI advisory → issues quote → decision recorded.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Access grant:</w:t>
      </w:r>
      <w:r>
        <w:rPr>
          <w:rFonts w:ascii="Calibri" w:cs="Calibri" w:eastAsia="Calibri" w:hAnsi="Calibri"/>
          <w:sz w:val="20"/>
          <w:szCs w:val="20"/>
        </w:rPr>
        <w:t xml:space="preserve"> Ibrahim creates user from role template → tailors modules → user sees only granted features.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9. Functional Requirements (summary; full catalogue in PRD)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FR-1 Underwriting capture &amp; conversion to treaties (proportional &amp; non-proportional, all LOBs).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FR-2 Treaty administration: premium bookings, monthly returns, payment status.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FR-3 Claims: registration, treaty linkage, layer allocation, payment, documents.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FR-4 Actuarial: triangles, CL/BF/Cape Cod/ELR, Mack SE, method selection, diagnostics.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FR-5 Pricing: experience/exposure/frequency-severity/credibility, scenarios, external data import, explainable AI advisory.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FR-6 Retrocession: typed programmes, auto-covered treaties by LOB, placements =100%, recoveries, counterparty security.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FR-7 Accounting: CoA, derived double-entry GL, AR/AP, cash book &amp; reconciliation, multi-currency, TB, statements.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FR-8 IFRS 17: PAA/GMM, LRC/LIC, RA, FCF, disclosures.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FR-9 Administration: user accounts, feature-based module access granted by administrator, audit trail.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FR-10 Reporting/exports throughout (CSV/XLSX/PDF).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10. Non-Functional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99.5% business hours; graceful degradation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Screen loads &lt; 2 s at P95; reserving run on 10 yrs × 12 LOBs &lt; 10 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 concurrent users; 1M claims rows without redesign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OWASP ASVS L2; ISO 27001-aligned controls; RBAC + RLS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mutation logged (who/what/when/before/after), immutable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Financial records ≥ 10 years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Usability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WCAG 2.1 AA; dark mode; keyboard navigable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Localisation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Multi-currency (7+), en-US initially; sw-TZ ready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Recoverability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RPO ≤ 15 min, RTO ≤ 4 h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11. Business Rules (selected)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BR-1 A treaty must originate from an approved underwriting contract or explicit manual entry with reason.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BR-2 A claim must reference an in-force treaty covering the loss date and LOB.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BR-3 Signed retro lines per layer must total exactly 100% before a placement is bound.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BR-4 Journals are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derived</w:t>
      </w:r>
      <w:r>
        <w:rPr>
          <w:rFonts w:ascii="Calibri" w:cs="Calibri" w:eastAsia="Calibri" w:hAnsi="Calibri"/>
          <w:sz w:val="20"/>
          <w:szCs w:val="20"/>
        </w:rPr>
        <w:t xml:space="preserve">, never hand-posted, except governed manual journals (balanced, referenced).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BR-5 The selected reserving method drives IBNR everywhere (LIC, journals, retro reserves) — one source of truth.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BR-6 Retro programmes auto-cover all inward treaties matching LOB + period; no manual linkage.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BR-7 Access to a module exists only if granted by an administrator; at least one active administrator must always exist.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BR-8 A closed accounting period is immutable; corrections post into the open period.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BR-9 Money-moving actions (claim payment, premium booking confirmation, quote issue) require maker-checker approval (backend phase).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12. Assumptions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Single legal entity, single book initially (no multi-entity consolidation in MVP).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Users are internal staff; cedant/broker portal deferred to Phase 3.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English UI acceptable at launch.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Cloud hosting permitted by the regulator (with data residency verified per country).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13. Constraints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Existing React/TS/shadcn frontend and pure calc engines are the baseline — evolve, don't rewrite.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Small team; managed cloud services preferred over self-hosted infrastructure.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IFRS 17 effective — no parallel IFRS 4 requirement.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14. Risks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Calculation defects in reserving/IFRS 17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 tests vs worked examples; actuary sign-off gate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migration from spreadsheets dirty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Migration tooling with validation reports; parallel run 1 quarter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Scope creep (portal, multi-entity)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MoSCoW discipline; change control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Single-admin lockout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Enforced ≥1 active admin; break-glass procedure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Cloud/regulator data-residency conflict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 residency before hosting choice; region pinning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Key-person dependency (one dev team)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This documentation set; CI-enforced standards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15. Regulatory &amp; Compliance Requirements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IFRS 17</w:t>
      </w:r>
      <w:r>
        <w:rPr>
          <w:rFonts w:ascii="Calibri" w:cs="Calibri" w:eastAsia="Calibri" w:hAnsi="Calibri"/>
          <w:sz w:val="20"/>
          <w:szCs w:val="20"/>
        </w:rPr>
        <w:t xml:space="preserve"> — measurement &amp; disclosure (engine exists; period close required for opening balances).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Insurance regulators</w:t>
      </w:r>
      <w:r>
        <w:rPr>
          <w:rFonts w:ascii="Calibri" w:cs="Calibri" w:eastAsia="Calibri" w:hAnsi="Calibri"/>
          <w:sz w:val="20"/>
          <w:szCs w:val="20"/>
        </w:rPr>
        <w:t xml:space="preserve"> (TIRA Tanzania / IRA Kenya / NAICOM Nigeria, per market) — solvency returns, statutory reporting; system must export the underlying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protection</w:t>
      </w:r>
      <w:r>
        <w:rPr>
          <w:rFonts w:ascii="Calibri" w:cs="Calibri" w:eastAsia="Calibri" w:hAnsi="Calibri"/>
          <w:sz w:val="20"/>
          <w:szCs w:val="20"/>
        </w:rPr>
        <w:t xml:space="preserve"> — Tanzania PDPA 2022 / Kenya DPA 2019 / GDPR-alignment for any EU cedants: lawful basis, breach notification, data subject rights over personal data held (users, claimants where individuals).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ISO 27001 / NIST CSF</w:t>
      </w:r>
      <w:r>
        <w:rPr>
          <w:rFonts w:ascii="Calibri" w:cs="Calibri" w:eastAsia="Calibri" w:hAnsi="Calibri"/>
          <w:sz w:val="20"/>
          <w:szCs w:val="20"/>
        </w:rPr>
        <w:t xml:space="preserve"> — control framework for the SSDLC and operations (see Phase 3 §8 and Phase 8).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OWASP ASVS L2</w:t>
      </w:r>
      <w:r>
        <w:rPr>
          <w:rFonts w:ascii="Calibri" w:cs="Calibri" w:eastAsia="Calibri" w:hAnsi="Calibri"/>
          <w:sz w:val="20"/>
          <w:szCs w:val="20"/>
        </w:rPr>
        <w:t xml:space="preserve"> — application security verification target.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  <w:lvl w:ilvl="2" w15:tentative="1">
      <w:start w:val="1"/>
      <w:numFmt w:val="bullet"/>
      <w:lvlText w:val="▪"/>
      <w:lvlJc w:val="left"/>
      <w:pPr>
        <w:ind w:left="10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2026-07-18T15:02:00.393Z</dcterms:created>
  <dcterms:modified xsi:type="dcterms:W3CDTF">2026-07-18T15:02:00.394Z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