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AfriReVision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Phase 3 — System Architecture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Full-stack design including the 13-layer production stack</w:t>
      </w:r>
    </w:p>
    <w:p>
      <w:pPr>
        <w:spacing w:after="24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Enterprise Reinsurance Management Platform — July 2026</w:t>
      </w:r>
    </w:p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Design principle: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evolve, don't rewrite.</w:t>
      </w:r>
      <w:r>
        <w:rPr>
          <w:rFonts w:ascii="Calibri" w:cs="Calibri" w:eastAsia="Calibri" w:hAnsi="Calibri"/>
          <w:sz w:val="20"/>
          <w:szCs w:val="20"/>
        </w:rPr>
        <w:t xml:space="preserve"> The existing frontend and pure calculation engines are correct-by-construction seams; the backend slots in behind them. Clean Architecture: engines = domain layer (already pure), API = application layer, DB = infrastructure.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modular monolith</w:t>
      </w:r>
      <w:r>
        <w:rPr>
          <w:rFonts w:ascii="Calibri" w:cs="Calibri" w:eastAsia="Calibri" w:hAnsi="Calibri"/>
          <w:sz w:val="20"/>
          <w:szCs w:val="20"/>
        </w:rPr>
        <w:t xml:space="preserve"> is chosen over microservices — one team, one deployable, strong transactional needs (journals, close); DDD module boundaries keep a later split possible.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Architecture Diagram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┌────────────────────────────┐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Browser (React SPA)  │  CDN + WAF (static assets) │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    │ HTTPS         └────────────────────────────┘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    ▼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API Gateway / Reverse proxy (TLS, rate limit, compression)  │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    │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AfriReVision API (Node/TS modular monolith)                 │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┌─────────┐ ┌─────────┐ ┌──────────┐ ┌──────────────────┐   │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│ identity│ │ core    │ │ finance  │ │ actuarial/ifrs17 │   │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│ &amp;access │ │ (uw/    │ │ (gl/ar/  │ │ /pricing/retro   │   │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│         │ │ treaty/ │ │ ap/close)│ │ (reuse TS engines│   │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│         │ │ claims) │ │          │ │  from src/)      │   │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└─────────┘ └─────────┘ └──────────┘ └──────────────────┘   │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      shared kernel: audit, events, files, notifications    │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│            │             │              │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▼            ▼             ▼              ▼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PostgreSQL   Redis        S3-compatible   Email/SMS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(+ RLS)     (cache/rate)  object storage  provider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│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Backups → PITR + nightly snapshots (offsite)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Technology Stack Recommendation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18 + Vite + TS + shadcn/Tailwind + Zustand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Exists; proven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Node.js 20 + TypeScript + Fastify + Zod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Reuses the TS calculation engines unchanged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the decisive argument; Zod schemas shared FE/BE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ORM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Drizzle (or Prisma)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Type-safe schema shared with domain types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DB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ACID for journals/close, RLS, JSONB for flexible terms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Cache/queues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Sessions optional, rate limiting, BullMQ jobs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S3-compatible (R2/S3/MinIO)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Claim documents, report archive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 access (15 min) + rotating refresh (7 d), Argon2id hashes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Standard; see §7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Hosting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Managed containers (Fly.io/Render/Railway) or AWS ECS; managed Postgres (Neon/RDS)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Small team → managed services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CI/CD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 already on GitHub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Sentry + Grafana Cloud (or provider equivalents)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+ metrics + logs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Alternative considered: Supabase (fastest path — Postgres + auth + RLS + storage in one). Acceptable for MVP; the custom Fastify API is preferred because reserving/IFRS runs and derived journals are server-side compute, not CRUD.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Frontend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Keep module-per-file components + pure engine libraries (CODING_STANDARDS.md).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Introduce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data-access layer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src/api/</w:t>
      </w:r>
      <w:r>
        <w:rPr>
          <w:rFonts w:ascii="Calibri" w:cs="Calibri" w:eastAsia="Calibri" w:hAnsi="Calibri"/>
          <w:sz w:val="20"/>
          <w:szCs w:val="20"/>
        </w:rPr>
        <w:t xml:space="preserve"> exposing the exact DataStore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  action surface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addTreaty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addClaim</w:t>
      </w:r>
      <w:r>
        <w:rPr>
          <w:rFonts w:ascii="Calibri" w:cs="Calibri" w:eastAsia="Calibri" w:hAnsi="Calibri"/>
          <w:sz w:val="20"/>
          <w:szCs w:val="20"/>
        </w:rPr>
        <w:t xml:space="preserve">, …) backed by fetch + TanStack Query   (already installed); Zustand keeps UI state. Modules don't change.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Route-level code-splitting per module (fixes bundle warning).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Session: access token in memory, refresh via httpOnly cookie.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Backend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Modular monolith, DDD bounded contexts: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identity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core</w:t>
      </w:r>
      <w:r>
        <w:rPr>
          <w:rFonts w:ascii="Calibri" w:cs="Calibri" w:eastAsia="Calibri" w:hAnsi="Calibri"/>
          <w:sz w:val="20"/>
          <w:szCs w:val="20"/>
        </w:rPr>
        <w:t xml:space="preserve"> (uw/treaty/claims),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finance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actuarial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ifrs17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pricing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retro</w:t>
      </w:r>
      <w:r>
        <w:rPr>
          <w:rFonts w:ascii="Calibri" w:cs="Calibri" w:eastAsia="Calibri" w:hAnsi="Calibri"/>
          <w:sz w:val="20"/>
          <w:szCs w:val="20"/>
        </w:rPr>
        <w:t xml:space="preserve">, shared kernel  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audit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events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files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notify</w:t>
      </w:r>
      <w:r>
        <w:rPr>
          <w:rFonts w:ascii="Calibri" w:cs="Calibri" w:eastAsia="Calibri" w:hAnsi="Calibri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Each context: routes → service (use-cases) → repository; domain math imported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  from the existing engine packages (extracted to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packages/engines</w:t>
      </w:r>
      <w:r>
        <w:rPr>
          <w:rFonts w:ascii="Calibri" w:cs="Calibri" w:eastAsia="Calibri" w:hAnsi="Calibri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Domain events (in-process, outbox table) — e.g.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ClaimSettled</w:t>
      </w:r>
      <w:r>
        <w:rPr>
          <w:rFonts w:ascii="Calibri" w:cs="Calibri" w:eastAsia="Calibri" w:hAnsi="Calibri"/>
          <w:sz w:val="20"/>
          <w:szCs w:val="20"/>
        </w:rPr>
        <w:t xml:space="preserve"> triggers retro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  recovery recompute + journal derivation + notification.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Jobs (BullMQ): reserving runs, statement generation, imports, emails.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Database Architecture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PostgreSQL, 3 schema groups: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identity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ops</w:t>
      </w:r>
      <w:r>
        <w:rPr>
          <w:rFonts w:ascii="Calibri" w:cs="Calibri" w:eastAsia="Calibri" w:hAnsi="Calibri"/>
          <w:sz w:val="20"/>
          <w:szCs w:val="20"/>
        </w:rPr>
        <w:t xml:space="preserve"> (business entities),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audit</w:t>
      </w:r>
      <w:r>
        <w:rPr>
          <w:rFonts w:ascii="Calibri" w:cs="Calibri" w:eastAsia="Calibri" w:hAnsi="Calibri"/>
          <w:sz w:val="20"/>
          <w:szCs w:val="20"/>
        </w:rPr>
        <w:t xml:space="preserve">. Full design in Phase 4. Key decisions: monetary values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NUMERIC(18,2)</w:t>
      </w:r>
      <w:r>
        <w:rPr>
          <w:rFonts w:ascii="Calibri" w:cs="Calibri" w:eastAsia="Calibri" w:hAnsi="Calibri"/>
          <w:sz w:val="20"/>
          <w:szCs w:val="20"/>
        </w:rPr>
        <w:t xml:space="preserve">; type-specific treaty/retro terms in typed columns +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JSONB extras</w:t>
      </w:r>
      <w:r>
        <w:rPr>
          <w:rFonts w:ascii="Calibri" w:cs="Calibri" w:eastAsia="Calibri" w:hAnsi="Calibri"/>
          <w:sz w:val="20"/>
          <w:szCs w:val="20"/>
        </w:rPr>
        <w:t xml:space="preserve">; audit append-only with trigger-enforced immutability; RLS on every table keyed to granted modules (defence in depth behind API checks).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 API Architecture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REST,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/api/v1</w:t>
      </w:r>
      <w:r>
        <w:rPr>
          <w:rFonts w:ascii="Calibri" w:cs="Calibri" w:eastAsia="Calibri" w:hAnsi="Calibri"/>
          <w:sz w:val="20"/>
          <w:szCs w:val="20"/>
        </w:rPr>
        <w:t xml:space="preserve">, JSON, Zod-validated. Conventions: plural resources, nested subresources one level max, cursor pagination,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Idempotency-Key</w:t>
      </w:r>
      <w:r>
        <w:rPr>
          <w:rFonts w:ascii="Calibri" w:cs="Calibri" w:eastAsia="Calibri" w:hAnsi="Calibri"/>
          <w:sz w:val="20"/>
          <w:szCs w:val="20"/>
        </w:rPr>
        <w:t xml:space="preserve"> on POSTs that move money, RFC 7807 problem+json errors. Endpoint map in Phase 10. Versioning via URL; breaking changes → v2. OpenAPI generated from Zod schemas.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 Authentication &amp; Authorization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Login → Argon2id verify → access JWT (15 min; claims: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sub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role</w:t>
      </w:r>
      <w:r>
        <w:rPr>
          <w:rFonts w:ascii="Calibri" w:cs="Calibri" w:eastAsia="Calibri" w:hAnsi="Calibri"/>
          <w:sz w:val="20"/>
          <w:szCs w:val="20"/>
        </w:rPr>
        <w:t xml:space="preserve">,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modules[]</w:t>
      </w:r>
      <w:r>
        <w:rPr>
          <w:rFonts w:ascii="Calibri" w:cs="Calibri" w:eastAsia="Calibri" w:hAnsi="Calibri"/>
          <w:sz w:val="20"/>
          <w:szCs w:val="20"/>
        </w:rPr>
        <w:t xml:space="preserve">) + rotating refresh token (httpOnly, Secure, SameSite=strict).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Feature-based access control</w:t>
      </w:r>
      <w:r>
        <w:rPr>
          <w:rFonts w:ascii="Calibri" w:cs="Calibri" w:eastAsia="Calibri" w:hAnsi="Calibri"/>
          <w:sz w:val="20"/>
          <w:szCs w:val="20"/>
        </w:rPr>
        <w:t xml:space="preserve"> (as implemented in the frontend today):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  administrators grant module ids per user; role templates are starting points.   Enforcement in three layers: UI (hide), API middleware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requireModule('accounting')</w:t>
      </w:r>
      <w:r>
        <w:rPr>
          <w:rFonts w:ascii="Calibri" w:cs="Calibri" w:eastAsia="Calibri" w:hAnsi="Calibri"/>
          <w:sz w:val="20"/>
          <w:szCs w:val="20"/>
        </w:rPr>
        <w:t xml:space="preserve">   per route group), DB RLS (session variable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app.modules</w:t>
      </w:r>
      <w:r>
        <w:rPr>
          <w:rFonts w:ascii="Calibri" w:cs="Calibri" w:eastAsia="Calibri" w:hAnsi="Calibri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Guarantees: ≥1 active administrator invariant enforced in the service layer;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  self-lockout prevented; password policy (min 10 in production, breach-list   check), Argon2id, per-user salt; account lockout after 10 failures (15 min);   optional TOTP 2FA for administrators (Should-Have).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All privileged actions (grants, password resets, deactivation) audited.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8. Security Design (OWASP / ISO 27001 / NIST CSF mapping)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Identify:</w:t>
      </w:r>
      <w:r>
        <w:rPr>
          <w:rFonts w:ascii="Calibri" w:cs="Calibri" w:eastAsia="Calibri" w:hAnsi="Calibri"/>
          <w:sz w:val="20"/>
          <w:szCs w:val="20"/>
        </w:rPr>
        <w:t xml:space="preserve"> asset register = this doc set; data classification (PII: users, claimants; financial: all).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Protect:</w:t>
      </w:r>
      <w:r>
        <w:rPr>
          <w:rFonts w:ascii="Calibri" w:cs="Calibri" w:eastAsia="Calibri" w:hAnsi="Calibri"/>
          <w:sz w:val="20"/>
          <w:szCs w:val="20"/>
        </w:rPr>
        <w:t xml:space="preserve"> TLS 1.2+; headers (CSP, HSTS, X-Frame-Options); input validation at the edge (Zod); parameterised queries only; secrets in platform secret store, never in git; least-privilege DB roles; dependency scanning (npm audit + Dependabot); SAST (CodeQL) in CI.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Detect:</w:t>
      </w:r>
      <w:r>
        <w:rPr>
          <w:rFonts w:ascii="Calibri" w:cs="Calibri" w:eastAsia="Calibri" w:hAnsi="Calibri"/>
          <w:sz w:val="20"/>
          <w:szCs w:val="20"/>
        </w:rPr>
        <w:t xml:space="preserve"> structured auth/audit logs, anomaly alerts (failed logins, mass exports).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Respond/Recover:</w:t>
      </w:r>
      <w:r>
        <w:rPr>
          <w:rFonts w:ascii="Calibri" w:cs="Calibri" w:eastAsia="Calibri" w:hAnsi="Calibri"/>
          <w:sz w:val="20"/>
          <w:szCs w:val="20"/>
        </w:rPr>
        <w:t xml:space="preserve"> incident runbook, breach-notification procedure (PDPA/DPA timelines), DR plan §12.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OWASP Top 10 addressed explicitly in Phase 9 §5 (coding standards).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9. Integration Design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Near-term integrations are file-based (bordereaux XLSX import, statement exports). Design leaves seams: outbound webhooks on domain events; inbound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/api/v1/imports</w:t>
      </w:r>
      <w:r>
        <w:rPr>
          <w:rFonts w:ascii="Calibri" w:cs="Calibri" w:eastAsia="Calibri" w:hAnsi="Calibri"/>
          <w:sz w:val="20"/>
          <w:szCs w:val="20"/>
        </w:rPr>
        <w:t xml:space="preserve"> with schema-validated payloads; FX rates provider adapter (Release 2); email provider adapter. No ESB — YAGNI.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10. Notification Design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Notification service (shared kernel): domain events → notification rules → channels (in-app inbox table + email). MVP events: approval requested/decided, claim settled, placement unbound (&lt;100%), premium overdue, treaty expiring 60/30 days, backup failure. User-level preferences later.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11. Logging &amp; Monitoring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Structured JSON logs (pino) with request id + user id; no PII/secrets in logs.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Error tracking: Sentry (FE + BE) with release tagging.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Metrics: request latency/error rate, job durations, DB pool, reserving-run 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Dashboards + alerts: P95 latency, 5xx rate, failed jobs, backup age, cert expiry.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Audit log is business data (DB), not operational logging.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12. Disaster Recovery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RPO ≤ 15 min (WAL/PITR), RTO ≤ 4 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Runbook: restore latest snapshot + WAL to new instance → repoint API → smoke tests → DNS.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Quarterly restore drills (tested backup = backup).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Region failure: infra-as-code (Terraform) recreates the stack in an alternate region; object storage cross-region replicated.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13. Backup Strategy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DB: continuous WAL archiving + nightly full snapshot; retention 35 days + monthly for 12 months (financial data ≥ 10 yrs via yearly archives).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Object storage: versioning + replication.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Config/secrets: infra-as-code in git; secret store backups per provider.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Application-level: existing JSON export retained as user-facing safety net.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14. Scalability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Stateless API → horizontal scale behind LB; sticky sessions unnecessary (JWT).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Postgres: primary + read replica when needed; heavy analytics reads → replica.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Jobs isolated in worker process — reserving runs can't starve the API.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Realistic load (hundreds of users, not millions) — vertical headroom is cheap; design avoids anything that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prevents</w:t>
      </w:r>
      <w:r>
        <w:rPr>
          <w:rFonts w:ascii="Calibri" w:cs="Calibri" w:eastAsia="Calibri" w:hAnsi="Calibri"/>
          <w:sz w:val="20"/>
          <w:szCs w:val="20"/>
        </w:rPr>
        <w:t xml:space="preserve"> horizontal scale.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15. Performance Optimization Strategy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DB: indexes per Phase 4; keyset pagination; materialised views for triangle source aggregation if needed.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API: Redis cache for reference data (CoA, FX) with event-driven invalidation; gzip/brotli.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FE: code-splitting, memoised selectors (already), virtualised large tables.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Budget: P95 API &lt; 300 ms for CRUD; engine runs async via jobs with progress.</w:t>
      </w:r>
    </w:p>
    <w:p>
      <w:pPr>
        <w:pBdr>
          <w:bottom w:val="single" w:color="BFBFBF" w:sz="6"/>
        </w:pBd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The 13 Production Layers (explicit mapping)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foundation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18 + Vite + TS + shadcn/Tailwind + Zustand + TanStack Query; code-split modules; WCAG AA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&amp; backend logic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Fastify modular monolith; DDD contexts; engines reused from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packages/engines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BullMQ jobs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 &amp; storage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16 (NUMERIC money, JSONB terms); S3-compatible object storage for documents/reports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Authentication &amp; permission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Argon2id + JWT/refresh rotation; admin-granted module access; role templates; ≥1-admin invariant; optional TOTP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Hosting &amp; deployment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Managed containers (Fly/Render/ECS); managed Postgres; IaC (Terraform); blue-green deploys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 &amp; compute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2× API instances (prod), 1× worker, Redis, Postgres primary(+replica); dev/UAT/staging scaled down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CI/CD &amp; version control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GitHub; trunk-based with short-lived branches; Actions: lint→typecheck→test→build→scan→deploy; environments gated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 &amp; row-level security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OWASP ASVS L2; Postgres RLS keyed to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app.user_id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app.modules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every ops table; audit append-only triggers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Gateway: 300 req/min/IP; API: per-user token bucket (Redis), stricter on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/auth/*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(10/min) and exports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Caching &amp; CDN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CDN for SPA assets (immutable, hashed); Redis for reference data + idempotency keys; ETag on GET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 balancing &amp; scaling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Platform LB, health checks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/healthz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/readyz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HPA on CPU/latency; stateless API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tracking &amp; logs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Sentry FE/BE; pino JSON logs → aggregated (Grafana Loki); request-id correlation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Availability &amp; recovery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Multi-instance API, managed DB HA, PITR backups, DR runbook + quarterly drills, uptime SLO 99.5% with status page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  <w:lvl w:ilvl="2" w15:tentative="1">
      <w:start w:val="1"/>
      <w:numFmt w:val="bullet"/>
      <w:lvlText w:val="▪"/>
      <w:lvlJc w:val="left"/>
      <w:pPr>
        <w:ind w:left="10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2026-07-18T15:02:00.490Z</dcterms:created>
  <dcterms:modified xsi:type="dcterms:W3CDTF">2026-07-18T15:02:00.490Z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