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11 — Critical Gap Analysis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Honest audit of the current system against enterprise standards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An honest, standards-based audit of AfriReVision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 it stands today</w:t>
      </w:r>
      <w:r>
        <w:rPr>
          <w:rFonts w:ascii="Calibri" w:cs="Calibri" w:eastAsia="Calibri" w:hAnsi="Calibri"/>
          <w:sz w:val="20"/>
          <w:szCs w:val="20"/>
        </w:rPr>
        <w:t xml:space="preserve"> against what an enterprise reinsurance platform requires. The system is a complete, integrated MVP — every module functions and the calculations are real — but "functions" and "production-grade" are different bars. Gaps are classified: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Severity A</w:t>
      </w:r>
      <w:r>
        <w:rPr>
          <w:rFonts w:ascii="Calibri" w:cs="Calibri" w:eastAsia="Calibri" w:hAnsi="Calibri"/>
          <w:sz w:val="20"/>
          <w:szCs w:val="20"/>
        </w:rPr>
        <w:t xml:space="preserve"> — blocks production use with real money.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Severity B</w:t>
      </w:r>
      <w:r>
        <w:rPr>
          <w:rFonts w:ascii="Calibri" w:cs="Calibri" w:eastAsia="Calibri" w:hAnsi="Calibri"/>
          <w:sz w:val="20"/>
          <w:szCs w:val="20"/>
        </w:rPr>
        <w:t xml:space="preserve"> — required for a credible enterprise deployment; workarounds exist.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Severity C</w:t>
      </w:r>
      <w:r>
        <w:rPr>
          <w:rFonts w:ascii="Calibri" w:cs="Calibri" w:eastAsia="Calibri" w:hAnsi="Calibri"/>
          <w:sz w:val="20"/>
          <w:szCs w:val="20"/>
        </w:rPr>
        <w:t xml:space="preserve"> — enhancement; industry-standard but not blocking.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Platform &amp; Trust Gaps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backend persistence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data in one browser's localStorage. No sharing, no durability, no concurrency. One cleared cache = lost book.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Client-side security only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Authentication, password hashes, and module grants live in the browser and are user-editable via DevTools. Fine as UX; meaningless as security until enforced server-side (JWT + API middleware + RLS per Phase 3).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automated tests on calculation engines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Reserving, IFRS 17, journals, recoveries and pricing are untested code paths. For a financial system this is the single largest trust gap.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trail erasable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entries sit in localStorage; any user can delete their own history. Must become append-only server data.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backup/restore for users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export/import of the full dataset. Until the backend lands, a one-click JSON backup is the only safety net.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period close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IFRS 17 opening balances always zero; statements are inception-to-date. Regulatory quarters need frozen balances.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Functional Gaps Within Existing Modules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maker-checker anywhere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Claims payments, premium bookings, quotes and user grants are single-actor. Four-eyes approval is a baseline control in reinsurance operations.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Retro cession inconsistency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IFRS 17 Reinsurance Held uses legacy per-treaty retro %, while accounting uses programmes (TECH_DEBT #28). Two screens can show different net figures.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G-09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Reinstatement premiums not booked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Captured on XOL retro but never journalised (TECH_DEBT #30).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per-risk sum-insured profiles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Surplus cession is an estimated average; exposure rating uses a proxy curve; PML is a fixed factor. A simple risk-profile capture would make all three real.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G-11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FX conversion incomplete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IFRS currency selector is label-only; rates are manually keyed. Multi-currency books are the norm in African reinsurance.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G-12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is CSV-only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"Excel" export is CSV; imports require Save-As-CSV. Finance and underwriting teams live in .xlsx.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G-13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"PDF" = print dialog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Acceptable interim; true PDF generation needed for board/regulator packs.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G-14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Discounting single-period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IFRS 17 uses a one-year duration assumption, not yield curves. Documented simplification.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G-15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 import losses smoothed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Imported losses explode at average severity, understating XOL costs for skewed years (TECH_DEBT #36).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Missing Modules (industry-standard for a reinsurance platform)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Assessed against incumbent systems (SICS, WebXL, Eclipse Re) and reinsurance operating practice. These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recommended additions to the roadmap</w:t>
      </w:r>
      <w:r>
        <w:rPr>
          <w:rFonts w:ascii="Calibri" w:cs="Calibri" w:eastAsia="Calibri" w:hAnsi="Calibri"/>
          <w:sz w:val="20"/>
          <w:szCs w:val="20"/>
        </w:rPr>
        <w:t xml:space="preserve">, in priority order: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 module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Technical Accounts / Statements of Account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quarterly account current with each cedant (premium − commission − claims ± adjustments = balance) is the core commercial document of proportional reinsurance. Today the components exist but no cedant-facing statement is produced. Recommended: Release 2.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Bordereaux management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Inward premium/claims bordereaux (risk-level schedules from cedants) need structured import, validation and matching to treaties. The pricing CSV import is the seed of this; it should generalise. Recommended: Release 2.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Credit control / cash allocation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Aging exists, but no dunning workflow, no allocation of unidentified receipts, no offset of balances (premium vs claims) — standard reinsurance settlement practice. Recommended: Release 2.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Regulatory returns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Solvency and statutory returns (per TIRA/IRA/NAICOM formats) assembled from platform data. Today data must be exported and re-shaped by hand. Recommended: Release 2–3.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Claims support docs exist as stubs; treaty wordings, slips, endorsements and correspondence need versioned storage against entities (backend object storage per Phase 3). Recommended: with backend.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Workflow inbox &amp; notifications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Approvals, renewals falling due, expiring programmes, overdue balances — users need a single "my work" view. Planned in the PRD (E8); elevated here because maker-checker (G-07) depends on it. Recommended: Release 1.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Reporting/BI layer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Cross-module management reporting (combined ratio by LOB/cedant/UW year) beyond each module's analytics. Recommended: Release 3, or export-to-warehouse.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Retro reinstatement &amp; premium adjustments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premiums (rate on turnover), profit commission and sliding-scale commission on proportional treaties are computed nowhere. Common treaty features. Recommended: Release 2.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M-09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Cedant/broker portal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in the roadmap (Release 3).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Compliance &amp; Standards Gaps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enforced RBAC server-side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27001 A.9 / OWASP A01 — see G-02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policy weak (6 chars, no lockout)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 to ≥10 + lockout at backend; current client-side is interim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data-protection features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PDPA/DPA: no consent records, no PII inventory, no right-to-erasure process for claimant personal data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SSDLC gates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ESLint broken, no CI, no SAST/dependency scanning — Phase 8 pipeline fixes all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 unaudited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Radix gives a strong base; a WCAG 2.1 AA pass (contrast, focus order, screen-reader labels on icon buttons) has not been formally run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What is NOT a gap (explicitly assessed as sound)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</w:t>
      </w:r>
      <w:r>
        <w:rPr>
          <w:rFonts w:ascii="Calibri" w:cs="Calibri" w:eastAsia="Calibri" w:hAnsi="Calibri"/>
          <w:sz w:val="20"/>
          <w:szCs w:val="20"/>
        </w:rPr>
        <w:t xml:space="preserve"> — pure engines separated from UI is exactly the right seam for the backend; nothing needs rewriting.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Calculation breadth</w:t>
      </w:r>
      <w:r>
        <w:rPr>
          <w:rFonts w:ascii="Calibri" w:cs="Calibri" w:eastAsia="Calibri" w:hAnsi="Calibri"/>
          <w:sz w:val="20"/>
          <w:szCs w:val="20"/>
        </w:rPr>
        <w:t xml:space="preserve"> — reserving (4 methods + Mack), IFRS 17 (PAA/GMM, RA, LRC/LIC), derived double-entry accounting, type-aware retro recoveries, credibility-blended pricing with explainable AI: this functional footprint already exceeds several commercial packages.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model</w:t>
      </w:r>
      <w:r>
        <w:rPr>
          <w:rFonts w:ascii="Calibri" w:cs="Calibri" w:eastAsia="Calibri" w:hAnsi="Calibri"/>
          <w:sz w:val="20"/>
          <w:szCs w:val="20"/>
        </w:rPr>
        <w:t xml:space="preserve"> — derived journals and auto-covered retro programmes eliminate whole classes of reconciliation errors by construction.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Access control model</w:t>
      </w:r>
      <w:r>
        <w:rPr>
          <w:rFonts w:ascii="Calibri" w:cs="Calibri" w:eastAsia="Calibri" w:hAnsi="Calibri"/>
          <w:sz w:val="20"/>
          <w:szCs w:val="20"/>
        </w:rPr>
        <w:t xml:space="preserve"> — feature-based grants with role templates and admin guards is the correct design; it only needs server enforcement.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Documentation discipline</w:t>
      </w:r>
      <w:r>
        <w:rPr>
          <w:rFonts w:ascii="Calibri" w:cs="Calibri" w:eastAsia="Calibri" w:hAnsi="Calibri"/>
          <w:sz w:val="20"/>
          <w:szCs w:val="20"/>
        </w:rPr>
        <w:t xml:space="preserve"> — CHANGELOG/DECISIONS/TECH_DEBT are current and honest.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Remediation Map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Every A-severity gap is closed by Release 1 of the roadmap (Phase 6): backend + auth enforcement (G-01, G-02, S-01), engine tests (G-03), server audit (G-04), maker-checker + workflow inbox (G-07, M-06), period close (G-06), XLSX (G-12), backup (G-05 interim: JSON export ships pre-backend). B-severity items map to Release 2 with the missing modules M-01–M-04, M-08 added to its scope. C-severity items are logged in TECH_DEBT and scheduled opportunistically.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2026-07-18T15:02:00.684Z</dcterms:created>
  <dcterms:modified xsi:type="dcterms:W3CDTF">2026-07-18T15:02:00.684Z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