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FRONT END DEVELOPER,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RELEVANT EXPERIENCE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Jelly Belly Candy Company </w:t>
            </w:r>
            <w:r w:rsidDel="00000000" w:rsidR="00000000" w:rsidRPr="00000000">
              <w:rPr>
                <w:color w:val="000000"/>
                <w:rtl w:val="0"/>
              </w:rPr>
              <w:t xml:space="preserve">         Fairfield, CA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   04/2017 -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agalgf6ywcfi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Junior 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Responsible for co-developing and maintaining numerous e-commerce and content websites and web-based applications.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Oakland, CA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i w:val="1"/>
                <w:color w:val="2079c7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www.brionnawhite.com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color w:val="000000"/>
                <w:rtl w:val="0"/>
              </w:rPr>
              <w:t xml:space="preserve">  San Mateo, CA       08/2012 - 10/2012 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</w:rPr>
            </w:pPr>
            <w:bookmarkStart w:colFirst="0" w:colLast="0" w:name="_ybypdmed418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Planned and launched events using email marketing newsletter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="240" w:lineRule="auto"/>
              <w:ind w:right="0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echnologies: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2079c7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jQuery, TypeScript, AngularJS, Node.js, Express.js, Passport.js, Bootstrap, Semantic UI, Underscore.js, Moment.js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NoSQL, MySQL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GruntJS,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Adobe Illustrator, Slack, Command Line/Terminal, cPanel, XAMPP, Heroku, mLab, Wordpress, Mozu/Kibo(CMS)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