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365" w:type="dxa"/>
        <w:tblLook w:val="04A0" w:firstRow="1" w:lastRow="0" w:firstColumn="1" w:lastColumn="0" w:noHBand="0" w:noVBand="1"/>
      </w:tblPr>
      <w:tblGrid>
        <w:gridCol w:w="466"/>
        <w:gridCol w:w="2828"/>
        <w:gridCol w:w="7071"/>
      </w:tblGrid>
      <w:tr w:rsidR="00870737" w14:paraId="6E5C41F6" w14:textId="77777777" w:rsidTr="00DC0219">
        <w:trPr>
          <w:trHeight w:val="1157"/>
        </w:trPr>
        <w:tc>
          <w:tcPr>
            <w:tcW w:w="466" w:type="dxa"/>
          </w:tcPr>
          <w:p w14:paraId="547888FC" w14:textId="77777777" w:rsidR="00870737" w:rsidRPr="008A7186" w:rsidRDefault="00870737" w:rsidP="00DC021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>1</w:t>
            </w:r>
          </w:p>
        </w:tc>
        <w:tc>
          <w:tcPr>
            <w:tcW w:w="2828" w:type="dxa"/>
          </w:tcPr>
          <w:p w14:paraId="2F2C00BE" w14:textId="61554C84" w:rsidR="00870737" w:rsidRPr="008A7186" w:rsidRDefault="00870737" w:rsidP="00DC021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>STIPA introduction</w:t>
            </w:r>
          </w:p>
          <w:p w14:paraId="0641E9FD" w14:textId="77777777" w:rsidR="00870737" w:rsidRPr="008A7186" w:rsidRDefault="007D77FE" w:rsidP="00DC021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>(What STIPA is, what STIPA does and projects - mention)</w:t>
            </w:r>
          </w:p>
          <w:p w14:paraId="462540A8" w14:textId="6323D948" w:rsidR="007D77FE" w:rsidRPr="008A7186" w:rsidRDefault="007D77FE" w:rsidP="00DC021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>Short sentences.</w:t>
            </w:r>
          </w:p>
        </w:tc>
        <w:tc>
          <w:tcPr>
            <w:tcW w:w="7071" w:type="dxa"/>
          </w:tcPr>
          <w:p w14:paraId="13107A6C" w14:textId="744F3F6A" w:rsidR="00A25B46" w:rsidRPr="008A7186" w:rsidRDefault="00A25B46" w:rsidP="0041526E">
            <w:pPr>
              <w:pStyle w:val="Default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A7186">
              <w:rPr>
                <w:rFonts w:asciiTheme="minorHAnsi" w:hAnsiTheme="minorHAnsi" w:cstheme="minorHAnsi"/>
                <w:sz w:val="18"/>
                <w:szCs w:val="18"/>
              </w:rPr>
              <w:t xml:space="preserve">Support for Tropical Initiatives in Poverty Alleviation (STIPA) is a national non-governmental, non-profit organization registered </w:t>
            </w:r>
            <w:r w:rsidR="00FB6AB9" w:rsidRPr="008A7186">
              <w:rPr>
                <w:rFonts w:asciiTheme="minorHAnsi" w:hAnsiTheme="minorHAnsi" w:cstheme="minorHAnsi"/>
                <w:sz w:val="18"/>
                <w:szCs w:val="18"/>
              </w:rPr>
              <w:t>with the NGOs Coordination Board of Kenya</w:t>
            </w:r>
            <w:r w:rsidR="0041526E">
              <w:rPr>
                <w:rFonts w:asciiTheme="minorHAnsi" w:hAnsiTheme="minorHAnsi" w:cstheme="minorHAnsi"/>
                <w:sz w:val="18"/>
                <w:szCs w:val="18"/>
              </w:rPr>
              <w:t xml:space="preserve"> on 25</w:t>
            </w:r>
            <w:r w:rsidR="0041526E" w:rsidRPr="0041526E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="0041526E">
              <w:rPr>
                <w:rFonts w:asciiTheme="minorHAnsi" w:hAnsiTheme="minorHAnsi" w:cstheme="minorHAnsi"/>
                <w:sz w:val="18"/>
                <w:szCs w:val="18"/>
              </w:rPr>
              <w:t xml:space="preserve"> September 1997</w:t>
            </w:r>
            <w:r w:rsidR="00FB6AB9" w:rsidRPr="008A7186">
              <w:rPr>
                <w:rFonts w:asciiTheme="minorHAnsi" w:hAnsiTheme="minorHAnsi" w:cstheme="minorHAnsi"/>
                <w:sz w:val="18"/>
                <w:szCs w:val="18"/>
              </w:rPr>
              <w:t>.  STIPA is based in Kisumu County with a satellite base in Narok County (Transmara West Sub County).</w:t>
            </w:r>
            <w:r w:rsidR="00903D3F" w:rsidRPr="008A718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903D3F" w:rsidRPr="008A7186">
              <w:rPr>
                <w:rFonts w:asciiTheme="minorHAnsi" w:hAnsiTheme="minorHAnsi" w:cstheme="minorHAnsi"/>
                <w:sz w:val="18"/>
                <w:szCs w:val="18"/>
              </w:rPr>
              <w:t xml:space="preserve">STIPA has </w:t>
            </w:r>
            <w:r w:rsidR="007C7CC9">
              <w:rPr>
                <w:rFonts w:asciiTheme="minorHAnsi" w:hAnsiTheme="minorHAnsi" w:cstheme="minorHAnsi"/>
                <w:sz w:val="18"/>
                <w:szCs w:val="18"/>
              </w:rPr>
              <w:t xml:space="preserve">a </w:t>
            </w:r>
            <w:r w:rsidR="00903D3F" w:rsidRPr="008A7186">
              <w:rPr>
                <w:rFonts w:asciiTheme="minorHAnsi" w:hAnsiTheme="minorHAnsi" w:cstheme="minorHAnsi"/>
                <w:sz w:val="18"/>
                <w:szCs w:val="18"/>
              </w:rPr>
              <w:t>presence in 7 counties in Western Kenya namely Bungoma, Busia, Homa Bay, Kisumu, Narok, Siaya</w:t>
            </w:r>
            <w:r w:rsidR="007C7CC9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="00903D3F" w:rsidRPr="008A7186">
              <w:rPr>
                <w:rFonts w:asciiTheme="minorHAnsi" w:hAnsiTheme="minorHAnsi" w:cstheme="minorHAnsi"/>
                <w:sz w:val="18"/>
                <w:szCs w:val="18"/>
              </w:rPr>
              <w:t xml:space="preserve"> and Vihiga.</w:t>
            </w:r>
          </w:p>
          <w:p w14:paraId="25AC4EA1" w14:textId="642AD037" w:rsidR="00A25B46" w:rsidRPr="008A7186" w:rsidRDefault="00A25B46" w:rsidP="0041526E">
            <w:pPr>
              <w:pStyle w:val="Default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88FA6F" w14:textId="468314B7" w:rsidR="00870737" w:rsidRPr="008A7186" w:rsidRDefault="00D40413" w:rsidP="0041526E">
            <w:pPr>
              <w:spacing w:line="225" w:lineRule="auto"/>
              <w:jc w:val="both"/>
              <w:rPr>
                <w:rFonts w:cstheme="minorHAnsi"/>
                <w:sz w:val="18"/>
                <w:szCs w:val="18"/>
              </w:rPr>
            </w:pPr>
            <w:r w:rsidRPr="008A7186">
              <w:rPr>
                <w:rFonts w:cstheme="minorHAnsi"/>
                <w:sz w:val="18"/>
                <w:szCs w:val="18"/>
              </w:rPr>
              <w:t>STIPA envisions healthy communities</w:t>
            </w:r>
            <w:r w:rsidR="0041526E">
              <w:rPr>
                <w:rFonts w:cstheme="minorHAnsi"/>
                <w:sz w:val="18"/>
                <w:szCs w:val="18"/>
              </w:rPr>
              <w:t xml:space="preserve"> </w:t>
            </w:r>
            <w:r w:rsidRPr="008A7186">
              <w:rPr>
                <w:rFonts w:cstheme="minorHAnsi"/>
                <w:sz w:val="18"/>
                <w:szCs w:val="18"/>
              </w:rPr>
              <w:t>driven by its mission statement of empowering communities and organizations to be in control.  Anchored on three key pillars</w:t>
            </w:r>
            <w:r w:rsidR="0041526E">
              <w:rPr>
                <w:rFonts w:cstheme="minorHAnsi"/>
                <w:sz w:val="18"/>
                <w:szCs w:val="18"/>
              </w:rPr>
              <w:t xml:space="preserve"> (</w:t>
            </w:r>
            <w:r w:rsidRPr="008A7186">
              <w:rPr>
                <w:rFonts w:cstheme="minorHAnsi"/>
                <w:sz w:val="18"/>
                <w:szCs w:val="18"/>
              </w:rPr>
              <w:t>Community Empowerment, Advocacy</w:t>
            </w:r>
            <w:r w:rsidR="007C7CC9">
              <w:rPr>
                <w:rFonts w:cstheme="minorHAnsi"/>
                <w:sz w:val="18"/>
                <w:szCs w:val="18"/>
              </w:rPr>
              <w:t>,</w:t>
            </w:r>
            <w:r w:rsidRPr="008A7186">
              <w:rPr>
                <w:rFonts w:cstheme="minorHAnsi"/>
                <w:sz w:val="18"/>
                <w:szCs w:val="18"/>
              </w:rPr>
              <w:t xml:space="preserve"> and Resource Mobilization for Sustainability</w:t>
            </w:r>
            <w:r w:rsidR="0041526E">
              <w:rPr>
                <w:rFonts w:cstheme="minorHAnsi"/>
                <w:sz w:val="18"/>
                <w:szCs w:val="18"/>
              </w:rPr>
              <w:t>)</w:t>
            </w:r>
            <w:r w:rsidRPr="008A7186">
              <w:rPr>
                <w:rFonts w:cstheme="minorHAnsi"/>
                <w:sz w:val="18"/>
                <w:szCs w:val="18"/>
              </w:rPr>
              <w:t>, STIPA has vast experience in community development using unique approaches that facilitate communities to address shortcomings in top-down development approaches in conventional development models.</w:t>
            </w:r>
          </w:p>
          <w:p w14:paraId="1EE2AC2F" w14:textId="77777777" w:rsidR="00057654" w:rsidRPr="008A7186" w:rsidRDefault="00057654" w:rsidP="0041526E">
            <w:pPr>
              <w:spacing w:line="225" w:lineRule="auto"/>
              <w:jc w:val="both"/>
              <w:rPr>
                <w:rFonts w:cstheme="minorHAnsi"/>
                <w:sz w:val="18"/>
                <w:szCs w:val="18"/>
              </w:rPr>
            </w:pPr>
          </w:p>
          <w:p w14:paraId="5A58FBA4" w14:textId="6BD32942" w:rsidR="00057654" w:rsidRPr="008A7186" w:rsidRDefault="00057654" w:rsidP="0041526E">
            <w:pPr>
              <w:spacing w:line="225" w:lineRule="auto"/>
              <w:jc w:val="both"/>
              <w:rPr>
                <w:rFonts w:cstheme="minorHAnsi"/>
                <w:b/>
                <w:sz w:val="18"/>
                <w:szCs w:val="18"/>
              </w:rPr>
            </w:pPr>
            <w:r w:rsidRPr="008A7186">
              <w:rPr>
                <w:rFonts w:cstheme="minorHAnsi"/>
                <w:b/>
                <w:sz w:val="18"/>
                <w:szCs w:val="18"/>
              </w:rPr>
              <w:t>PROJECTS</w:t>
            </w:r>
          </w:p>
          <w:p w14:paraId="78F44D6E" w14:textId="6B0624C8" w:rsidR="00057654" w:rsidRPr="008A7186" w:rsidRDefault="00057654" w:rsidP="0041526E">
            <w:pPr>
              <w:spacing w:line="225" w:lineRule="auto"/>
              <w:jc w:val="both"/>
              <w:rPr>
                <w:rFonts w:cstheme="minorHAnsi"/>
                <w:sz w:val="18"/>
                <w:szCs w:val="18"/>
              </w:rPr>
            </w:pPr>
            <w:r w:rsidRPr="008A7186">
              <w:rPr>
                <w:rFonts w:cstheme="minorHAnsi"/>
                <w:b/>
                <w:sz w:val="18"/>
                <w:szCs w:val="18"/>
              </w:rPr>
              <w:t>Community Based Health Financing Project</w:t>
            </w:r>
            <w:r w:rsidR="00D87547" w:rsidRPr="008A7186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D87547" w:rsidRPr="008A7186">
              <w:rPr>
                <w:rFonts w:cstheme="minorHAnsi"/>
                <w:sz w:val="18"/>
                <w:szCs w:val="18"/>
              </w:rPr>
              <w:t>gear</w:t>
            </w:r>
            <w:r w:rsidR="0041526E">
              <w:rPr>
                <w:rFonts w:cstheme="minorHAnsi"/>
                <w:sz w:val="18"/>
                <w:szCs w:val="18"/>
              </w:rPr>
              <w:t xml:space="preserve">s </w:t>
            </w:r>
            <w:r w:rsidR="00D87547" w:rsidRPr="008A7186">
              <w:rPr>
                <w:rFonts w:cstheme="minorHAnsi"/>
                <w:sz w:val="18"/>
                <w:szCs w:val="18"/>
              </w:rPr>
              <w:t xml:space="preserve">towards empowering communities </w:t>
            </w:r>
            <w:r w:rsidR="0041526E">
              <w:rPr>
                <w:rFonts w:cstheme="minorHAnsi"/>
                <w:sz w:val="18"/>
                <w:szCs w:val="18"/>
              </w:rPr>
              <w:t>to</w:t>
            </w:r>
            <w:r w:rsidR="00D87547" w:rsidRPr="008A7186">
              <w:rPr>
                <w:rFonts w:cstheme="minorHAnsi"/>
                <w:sz w:val="18"/>
                <w:szCs w:val="18"/>
              </w:rPr>
              <w:t xml:space="preserve"> access quality and affordable health care services.  The project also applie</w:t>
            </w:r>
            <w:r w:rsidR="0041526E">
              <w:rPr>
                <w:rFonts w:cstheme="minorHAnsi"/>
                <w:sz w:val="18"/>
                <w:szCs w:val="18"/>
              </w:rPr>
              <w:t>s</w:t>
            </w:r>
            <w:r w:rsidR="00D87547" w:rsidRPr="008A7186">
              <w:rPr>
                <w:rFonts w:cstheme="minorHAnsi"/>
                <w:sz w:val="18"/>
                <w:szCs w:val="18"/>
              </w:rPr>
              <w:t xml:space="preserve"> enhanced partnership using the CBHF</w:t>
            </w:r>
            <w:r w:rsidR="00D87547" w:rsidRPr="008A7186">
              <w:rPr>
                <w:rFonts w:cstheme="minorHAnsi"/>
                <w:color w:val="C00000"/>
                <w:sz w:val="18"/>
                <w:szCs w:val="18"/>
              </w:rPr>
              <w:t>Plus</w:t>
            </w:r>
            <w:r w:rsidR="00D87547" w:rsidRPr="008A7186">
              <w:rPr>
                <w:rFonts w:cstheme="minorHAnsi"/>
                <w:sz w:val="18"/>
                <w:szCs w:val="18"/>
              </w:rPr>
              <w:t xml:space="preserve"> Model that </w:t>
            </w:r>
            <w:r w:rsidR="0041526E">
              <w:rPr>
                <w:rFonts w:cstheme="minorHAnsi"/>
                <w:sz w:val="18"/>
                <w:szCs w:val="18"/>
              </w:rPr>
              <w:t>enables access to health care services through c</w:t>
            </w:r>
            <w:r w:rsidR="00D87547" w:rsidRPr="008A7186">
              <w:rPr>
                <w:rFonts w:cstheme="minorHAnsi"/>
                <w:sz w:val="18"/>
                <w:szCs w:val="18"/>
              </w:rPr>
              <w:t>ommunity</w:t>
            </w:r>
            <w:r w:rsidR="0041526E">
              <w:rPr>
                <w:rFonts w:cstheme="minorHAnsi"/>
                <w:sz w:val="18"/>
                <w:szCs w:val="18"/>
              </w:rPr>
              <w:t>-b</w:t>
            </w:r>
            <w:r w:rsidR="00D87547" w:rsidRPr="008A7186">
              <w:rPr>
                <w:rFonts w:cstheme="minorHAnsi"/>
                <w:sz w:val="18"/>
                <w:szCs w:val="18"/>
              </w:rPr>
              <w:t xml:space="preserve">ased Health Financing </w:t>
            </w:r>
            <w:r w:rsidR="0041526E">
              <w:rPr>
                <w:rFonts w:cstheme="minorHAnsi"/>
                <w:sz w:val="18"/>
                <w:szCs w:val="18"/>
              </w:rPr>
              <w:t xml:space="preserve">and upgrading to </w:t>
            </w:r>
            <w:r w:rsidR="00D87547" w:rsidRPr="008A7186">
              <w:rPr>
                <w:rFonts w:cstheme="minorHAnsi"/>
                <w:sz w:val="18"/>
                <w:szCs w:val="18"/>
              </w:rPr>
              <w:t>Universal Health Coverage</w:t>
            </w:r>
            <w:r w:rsidR="007C7CC9">
              <w:rPr>
                <w:rFonts w:cstheme="minorHAnsi"/>
                <w:sz w:val="18"/>
                <w:szCs w:val="18"/>
              </w:rPr>
              <w:t>,</w:t>
            </w:r>
            <w:r w:rsidR="00D87547" w:rsidRPr="008A7186">
              <w:rPr>
                <w:rFonts w:cstheme="minorHAnsi"/>
                <w:sz w:val="18"/>
                <w:szCs w:val="18"/>
              </w:rPr>
              <w:t xml:space="preserve"> and National Hospital Insurance Fund</w:t>
            </w:r>
            <w:r w:rsidR="0041526E">
              <w:rPr>
                <w:rFonts w:cstheme="minorHAnsi"/>
                <w:sz w:val="18"/>
                <w:szCs w:val="18"/>
              </w:rPr>
              <w:t>.</w:t>
            </w:r>
          </w:p>
          <w:p w14:paraId="14FCE9BB" w14:textId="77777777" w:rsidR="001F6D80" w:rsidRPr="008A7186" w:rsidRDefault="001F6D80" w:rsidP="0041526E">
            <w:pPr>
              <w:spacing w:line="225" w:lineRule="auto"/>
              <w:jc w:val="both"/>
              <w:rPr>
                <w:rFonts w:cstheme="minorHAnsi"/>
                <w:sz w:val="18"/>
                <w:szCs w:val="18"/>
              </w:rPr>
            </w:pPr>
          </w:p>
          <w:p w14:paraId="31FD274E" w14:textId="275A6BE4" w:rsidR="001F6D80" w:rsidRPr="008A7186" w:rsidRDefault="001F6D80" w:rsidP="0041526E">
            <w:pPr>
              <w:spacing w:line="225" w:lineRule="auto"/>
              <w:jc w:val="both"/>
              <w:rPr>
                <w:rFonts w:cstheme="minorHAnsi"/>
                <w:sz w:val="18"/>
                <w:szCs w:val="18"/>
              </w:rPr>
            </w:pPr>
            <w:r w:rsidRPr="008A7186">
              <w:rPr>
                <w:rFonts w:cstheme="minorHAnsi"/>
                <w:b/>
                <w:sz w:val="18"/>
                <w:szCs w:val="18"/>
              </w:rPr>
              <w:t xml:space="preserve">Western Kenya Peace </w:t>
            </w:r>
            <w:r w:rsidR="0041526E">
              <w:rPr>
                <w:rFonts w:cstheme="minorHAnsi"/>
                <w:b/>
                <w:sz w:val="18"/>
                <w:szCs w:val="18"/>
              </w:rPr>
              <w:t>I</w:t>
            </w:r>
            <w:r w:rsidRPr="008A7186">
              <w:rPr>
                <w:rFonts w:cstheme="minorHAnsi"/>
                <w:b/>
                <w:sz w:val="18"/>
                <w:szCs w:val="18"/>
              </w:rPr>
              <w:t>nitiatives</w:t>
            </w:r>
            <w:r w:rsidRPr="008A7186">
              <w:rPr>
                <w:rFonts w:cstheme="minorHAnsi"/>
                <w:sz w:val="18"/>
                <w:szCs w:val="18"/>
              </w:rPr>
              <w:t xml:space="preserve"> </w:t>
            </w:r>
            <w:r w:rsidR="00D87547" w:rsidRPr="008A7186">
              <w:rPr>
                <w:rFonts w:cstheme="minorHAnsi"/>
                <w:sz w:val="18"/>
                <w:szCs w:val="18"/>
              </w:rPr>
              <w:t xml:space="preserve">project </w:t>
            </w:r>
            <w:r w:rsidR="0041526E">
              <w:rPr>
                <w:rFonts w:cstheme="minorHAnsi"/>
                <w:sz w:val="18"/>
                <w:szCs w:val="18"/>
              </w:rPr>
              <w:t xml:space="preserve">is </w:t>
            </w:r>
            <w:r w:rsidR="00D87547" w:rsidRPr="008A7186">
              <w:rPr>
                <w:rFonts w:cstheme="minorHAnsi"/>
                <w:sz w:val="18"/>
                <w:szCs w:val="18"/>
              </w:rPr>
              <w:t>implemented by a consortium of 12 organizations to address political and ethnic violence</w:t>
            </w:r>
            <w:r w:rsidR="00440D81" w:rsidRPr="008A7186">
              <w:rPr>
                <w:rFonts w:cstheme="minorHAnsi"/>
                <w:sz w:val="18"/>
                <w:szCs w:val="18"/>
              </w:rPr>
              <w:t>,</w:t>
            </w:r>
            <w:r w:rsidR="00D87547" w:rsidRPr="008A7186">
              <w:rPr>
                <w:rFonts w:cstheme="minorHAnsi"/>
                <w:sz w:val="18"/>
                <w:szCs w:val="18"/>
              </w:rPr>
              <w:t xml:space="preserve"> that tends to reverse the gains achieved </w:t>
            </w:r>
            <w:r w:rsidR="001915B2" w:rsidRPr="008A7186">
              <w:rPr>
                <w:rFonts w:cstheme="minorHAnsi"/>
                <w:sz w:val="18"/>
                <w:szCs w:val="18"/>
              </w:rPr>
              <w:t>in the various development initiatives</w:t>
            </w:r>
            <w:r w:rsidR="00440D81" w:rsidRPr="008A7186">
              <w:rPr>
                <w:rFonts w:cstheme="minorHAnsi"/>
                <w:sz w:val="18"/>
                <w:szCs w:val="18"/>
              </w:rPr>
              <w:t>,</w:t>
            </w:r>
            <w:r w:rsidR="001915B2" w:rsidRPr="008A7186">
              <w:rPr>
                <w:rFonts w:cstheme="minorHAnsi"/>
                <w:sz w:val="18"/>
                <w:szCs w:val="18"/>
              </w:rPr>
              <w:t xml:space="preserve"> by promoting peaceful, social, political &amp; economic co-existence amongst the communities of Western Kenya.  </w:t>
            </w:r>
            <w:r w:rsidR="00022AB4" w:rsidRPr="008A7186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063EC471" w14:textId="77777777" w:rsidR="001915B2" w:rsidRPr="008A7186" w:rsidRDefault="001915B2" w:rsidP="0041526E">
            <w:pPr>
              <w:spacing w:line="225" w:lineRule="auto"/>
              <w:jc w:val="both"/>
              <w:rPr>
                <w:rFonts w:cstheme="minorHAnsi"/>
                <w:sz w:val="18"/>
                <w:szCs w:val="18"/>
              </w:rPr>
            </w:pPr>
          </w:p>
          <w:p w14:paraId="3102DD6C" w14:textId="19FC7D61" w:rsidR="001915B2" w:rsidRPr="008A7186" w:rsidRDefault="001915B2" w:rsidP="0041526E">
            <w:pPr>
              <w:spacing w:line="225" w:lineRule="auto"/>
              <w:jc w:val="both"/>
              <w:rPr>
                <w:rFonts w:cstheme="minorHAnsi"/>
                <w:sz w:val="18"/>
                <w:szCs w:val="18"/>
              </w:rPr>
            </w:pPr>
            <w:r w:rsidRPr="008A7186">
              <w:rPr>
                <w:rFonts w:cstheme="minorHAnsi"/>
                <w:b/>
                <w:sz w:val="18"/>
                <w:szCs w:val="18"/>
              </w:rPr>
              <w:t>Tunza Punda, Inua Jamii Project</w:t>
            </w:r>
            <w:r w:rsidR="00D87547" w:rsidRPr="008A7186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D87547" w:rsidRPr="008A7186">
              <w:rPr>
                <w:rFonts w:cstheme="minorHAnsi"/>
                <w:bCs/>
                <w:sz w:val="18"/>
                <w:szCs w:val="18"/>
              </w:rPr>
              <w:t xml:space="preserve">seeks </w:t>
            </w:r>
            <w:r w:rsidRPr="008A7186">
              <w:rPr>
                <w:rFonts w:cstheme="minorHAnsi"/>
                <w:sz w:val="18"/>
                <w:szCs w:val="18"/>
              </w:rPr>
              <w:t xml:space="preserve">to mitigate the impact of challenges facing donkeys and improve the welfare of donkeys and their owners in Kisumu and Siaya Counties. </w:t>
            </w:r>
          </w:p>
          <w:p w14:paraId="4A054D91" w14:textId="77777777" w:rsidR="00B346F3" w:rsidRPr="008A7186" w:rsidRDefault="00B346F3" w:rsidP="0041526E">
            <w:pPr>
              <w:spacing w:line="225" w:lineRule="auto"/>
              <w:jc w:val="both"/>
              <w:rPr>
                <w:rFonts w:cstheme="minorHAnsi"/>
                <w:sz w:val="18"/>
                <w:szCs w:val="18"/>
              </w:rPr>
            </w:pPr>
          </w:p>
          <w:p w14:paraId="4E8265DA" w14:textId="7E1AAC9F" w:rsidR="005923B2" w:rsidRPr="008A7186" w:rsidRDefault="00B346F3" w:rsidP="0041526E">
            <w:pPr>
              <w:jc w:val="both"/>
              <w:rPr>
                <w:rFonts w:cstheme="minorHAnsi"/>
                <w:sz w:val="18"/>
                <w:szCs w:val="18"/>
              </w:rPr>
            </w:pPr>
            <w:r w:rsidRPr="008A7186">
              <w:rPr>
                <w:rFonts w:cstheme="minorHAnsi"/>
                <w:b/>
                <w:sz w:val="18"/>
                <w:szCs w:val="18"/>
              </w:rPr>
              <w:t xml:space="preserve">Dissemination of </w:t>
            </w:r>
            <w:r w:rsidR="007C7CC9">
              <w:rPr>
                <w:rFonts w:cstheme="minorHAnsi"/>
                <w:b/>
                <w:sz w:val="18"/>
                <w:szCs w:val="18"/>
              </w:rPr>
              <w:t xml:space="preserve">the </w:t>
            </w:r>
            <w:r w:rsidRPr="008A7186">
              <w:rPr>
                <w:rFonts w:cstheme="minorHAnsi"/>
                <w:b/>
                <w:sz w:val="18"/>
                <w:szCs w:val="18"/>
              </w:rPr>
              <w:t>new Bean Varieties Project</w:t>
            </w:r>
            <w:r w:rsidR="00440D81" w:rsidRPr="008A7186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8A7186">
              <w:rPr>
                <w:rFonts w:cstheme="minorHAnsi"/>
                <w:color w:val="000000"/>
                <w:sz w:val="18"/>
                <w:szCs w:val="18"/>
              </w:rPr>
              <w:t>aims at strengthening the production of drought-resistant, high</w:t>
            </w:r>
            <w:r w:rsidR="007C7CC9">
              <w:rPr>
                <w:rFonts w:cstheme="minorHAnsi"/>
                <w:color w:val="000000"/>
                <w:sz w:val="18"/>
                <w:szCs w:val="18"/>
              </w:rPr>
              <w:t>-</w:t>
            </w:r>
            <w:r w:rsidRPr="008A7186">
              <w:rPr>
                <w:rFonts w:cstheme="minorHAnsi"/>
                <w:color w:val="000000"/>
                <w:sz w:val="18"/>
                <w:szCs w:val="18"/>
              </w:rPr>
              <w:t>yielding</w:t>
            </w:r>
            <w:r w:rsidR="007C7CC9">
              <w:rPr>
                <w:rFonts w:cstheme="minorHAnsi"/>
                <w:color w:val="000000"/>
                <w:sz w:val="18"/>
                <w:szCs w:val="18"/>
              </w:rPr>
              <w:t>,</w:t>
            </w:r>
            <w:r w:rsidRPr="008A7186">
              <w:rPr>
                <w:rFonts w:cstheme="minorHAnsi"/>
                <w:color w:val="000000"/>
                <w:sz w:val="18"/>
                <w:szCs w:val="18"/>
              </w:rPr>
              <w:t xml:space="preserve"> and nutritious bean varieties among smallholder farmers </w:t>
            </w:r>
            <w:r w:rsidR="0041526E">
              <w:rPr>
                <w:rFonts w:cstheme="minorHAnsi"/>
                <w:color w:val="000000"/>
                <w:sz w:val="18"/>
                <w:szCs w:val="18"/>
              </w:rPr>
              <w:t xml:space="preserve">in </w:t>
            </w:r>
            <w:r w:rsidRPr="008A7186">
              <w:rPr>
                <w:rFonts w:cstheme="minorHAnsi"/>
                <w:color w:val="000000"/>
                <w:sz w:val="18"/>
                <w:szCs w:val="18"/>
              </w:rPr>
              <w:t xml:space="preserve">Kisumu, </w:t>
            </w:r>
            <w:r w:rsidR="00440D81" w:rsidRPr="008A7186">
              <w:rPr>
                <w:rFonts w:cstheme="minorHAnsi"/>
                <w:color w:val="000000"/>
                <w:sz w:val="18"/>
                <w:szCs w:val="18"/>
              </w:rPr>
              <w:t>Siaya</w:t>
            </w:r>
            <w:r w:rsidR="007C7CC9">
              <w:rPr>
                <w:rFonts w:cstheme="minorHAnsi"/>
                <w:color w:val="000000"/>
                <w:sz w:val="18"/>
                <w:szCs w:val="18"/>
              </w:rPr>
              <w:t>,</w:t>
            </w:r>
            <w:r w:rsidR="00440D81" w:rsidRPr="008A7186">
              <w:rPr>
                <w:rFonts w:cstheme="minorHAnsi"/>
                <w:color w:val="000000"/>
                <w:sz w:val="18"/>
                <w:szCs w:val="18"/>
              </w:rPr>
              <w:t xml:space="preserve"> and </w:t>
            </w:r>
            <w:r w:rsidRPr="008A7186">
              <w:rPr>
                <w:rFonts w:cstheme="minorHAnsi"/>
                <w:color w:val="000000"/>
                <w:sz w:val="18"/>
                <w:szCs w:val="18"/>
              </w:rPr>
              <w:t>Vihiga</w:t>
            </w:r>
            <w:r w:rsidR="00440D81" w:rsidRPr="008A7186">
              <w:rPr>
                <w:rFonts w:cstheme="minorHAnsi"/>
                <w:color w:val="000000"/>
                <w:sz w:val="18"/>
                <w:szCs w:val="18"/>
              </w:rPr>
              <w:t xml:space="preserve"> counties</w:t>
            </w:r>
            <w:r w:rsidR="0041526E">
              <w:rPr>
                <w:rFonts w:cstheme="minorHAnsi"/>
                <w:color w:val="000000"/>
                <w:sz w:val="18"/>
                <w:szCs w:val="18"/>
              </w:rPr>
              <w:t xml:space="preserve">, </w:t>
            </w:r>
            <w:r w:rsidRPr="008A7186">
              <w:rPr>
                <w:rFonts w:cstheme="minorHAnsi"/>
                <w:color w:val="000000"/>
                <w:sz w:val="18"/>
                <w:szCs w:val="18"/>
              </w:rPr>
              <w:t xml:space="preserve">to </w:t>
            </w:r>
            <w:r w:rsidRPr="008A7186">
              <w:rPr>
                <w:rFonts w:cstheme="minorHAnsi"/>
                <w:sz w:val="18"/>
                <w:szCs w:val="18"/>
              </w:rPr>
              <w:t xml:space="preserve">reduce the national food deficit and increase household income. </w:t>
            </w:r>
          </w:p>
          <w:p w14:paraId="1E2E3963" w14:textId="7D7A0E45" w:rsidR="00440D81" w:rsidRPr="008A7186" w:rsidRDefault="00440D81" w:rsidP="0041526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870737" w:rsidRPr="00735879" w14:paraId="759E8170" w14:textId="77777777" w:rsidTr="003C0B05">
        <w:trPr>
          <w:trHeight w:val="305"/>
        </w:trPr>
        <w:tc>
          <w:tcPr>
            <w:tcW w:w="466" w:type="dxa"/>
          </w:tcPr>
          <w:p w14:paraId="5A594E79" w14:textId="725217E6" w:rsidR="00870737" w:rsidRPr="008A7186" w:rsidRDefault="00870737" w:rsidP="00DC021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>2</w:t>
            </w:r>
          </w:p>
        </w:tc>
        <w:tc>
          <w:tcPr>
            <w:tcW w:w="2828" w:type="dxa"/>
          </w:tcPr>
          <w:p w14:paraId="2F245911" w14:textId="6DBE806A" w:rsidR="00870737" w:rsidRPr="008A7186" w:rsidRDefault="00870737" w:rsidP="00DC021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>Who we are</w:t>
            </w:r>
          </w:p>
        </w:tc>
        <w:tc>
          <w:tcPr>
            <w:tcW w:w="7071" w:type="dxa"/>
          </w:tcPr>
          <w:p w14:paraId="2079A43D" w14:textId="605D4B04" w:rsidR="00870737" w:rsidRPr="008A7186" w:rsidRDefault="007935ED" w:rsidP="0041526E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  <w:rPr>
                <w:rFonts w:asciiTheme="minorHAnsi" w:hAnsiTheme="minorHAnsi" w:cstheme="minorHAnsi"/>
                <w:color w:val="1C1C1C"/>
                <w:sz w:val="18"/>
                <w:szCs w:val="18"/>
              </w:rPr>
            </w:pPr>
            <w:r w:rsidRPr="008A7186">
              <w:rPr>
                <w:rFonts w:asciiTheme="minorHAnsi" w:hAnsiTheme="minorHAnsi" w:cstheme="minorHAnsi"/>
                <w:color w:val="1C1C1C"/>
                <w:sz w:val="18"/>
                <w:szCs w:val="18"/>
              </w:rPr>
              <w:t xml:space="preserve">We are a </w:t>
            </w:r>
            <w:r w:rsidR="00FF65D1" w:rsidRPr="008A7186">
              <w:rPr>
                <w:rFonts w:asciiTheme="minorHAnsi" w:hAnsiTheme="minorHAnsi" w:cstheme="minorHAnsi"/>
                <w:color w:val="1C1C1C"/>
                <w:sz w:val="18"/>
                <w:szCs w:val="18"/>
              </w:rPr>
              <w:t>regional empowering organization</w:t>
            </w:r>
          </w:p>
        </w:tc>
      </w:tr>
      <w:tr w:rsidR="00DC0219" w:rsidRPr="00735879" w14:paraId="0D071A51" w14:textId="77777777" w:rsidTr="0068216A">
        <w:trPr>
          <w:trHeight w:val="395"/>
        </w:trPr>
        <w:tc>
          <w:tcPr>
            <w:tcW w:w="466" w:type="dxa"/>
          </w:tcPr>
          <w:p w14:paraId="31082DCB" w14:textId="363921B4" w:rsidR="00DC0219" w:rsidRPr="008A7186" w:rsidRDefault="00DC0219" w:rsidP="00DC021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>3</w:t>
            </w:r>
          </w:p>
        </w:tc>
        <w:tc>
          <w:tcPr>
            <w:tcW w:w="2828" w:type="dxa"/>
          </w:tcPr>
          <w:p w14:paraId="48CEC630" w14:textId="77777777" w:rsidR="00DC0219" w:rsidRPr="008A7186" w:rsidRDefault="00DC0219" w:rsidP="00DC021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>Mission</w:t>
            </w:r>
          </w:p>
          <w:p w14:paraId="21D19539" w14:textId="77777777" w:rsidR="00DC0219" w:rsidRPr="008A7186" w:rsidRDefault="00DC0219" w:rsidP="00DC021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7071" w:type="dxa"/>
          </w:tcPr>
          <w:p w14:paraId="00566255" w14:textId="47E3C246" w:rsidR="00DC0219" w:rsidRPr="008A7186" w:rsidRDefault="0041526E" w:rsidP="0041526E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  <w:rPr>
                <w:rFonts w:asciiTheme="minorHAnsi" w:hAnsiTheme="minorHAnsi" w:cstheme="minorHAnsi"/>
                <w:color w:val="1C1C1C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C1C1C"/>
                <w:sz w:val="18"/>
                <w:szCs w:val="18"/>
              </w:rPr>
              <w:t>T</w:t>
            </w:r>
            <w:r w:rsidRPr="008A7186">
              <w:rPr>
                <w:rFonts w:asciiTheme="minorHAnsi" w:hAnsiTheme="minorHAnsi" w:cstheme="minorHAnsi"/>
                <w:color w:val="1C1C1C"/>
                <w:sz w:val="18"/>
                <w:szCs w:val="18"/>
              </w:rPr>
              <w:t>o empower communities and organization to be in control</w:t>
            </w:r>
          </w:p>
        </w:tc>
      </w:tr>
      <w:tr w:rsidR="00870737" w:rsidRPr="00735879" w14:paraId="26C71183" w14:textId="77777777" w:rsidTr="00735879">
        <w:trPr>
          <w:trHeight w:val="368"/>
        </w:trPr>
        <w:tc>
          <w:tcPr>
            <w:tcW w:w="466" w:type="dxa"/>
          </w:tcPr>
          <w:p w14:paraId="622C63A8" w14:textId="0966F24C" w:rsidR="00870737" w:rsidRPr="008A7186" w:rsidRDefault="00870737" w:rsidP="00DC021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>4</w:t>
            </w:r>
          </w:p>
        </w:tc>
        <w:tc>
          <w:tcPr>
            <w:tcW w:w="2828" w:type="dxa"/>
          </w:tcPr>
          <w:p w14:paraId="56120BD1" w14:textId="0F4FACE0" w:rsidR="00870737" w:rsidRPr="008A7186" w:rsidRDefault="00870737" w:rsidP="00DC021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>Vision</w:t>
            </w:r>
          </w:p>
        </w:tc>
        <w:tc>
          <w:tcPr>
            <w:tcW w:w="7071" w:type="dxa"/>
          </w:tcPr>
          <w:p w14:paraId="0D5C3E1A" w14:textId="29398318" w:rsidR="0078519A" w:rsidRPr="008A7186" w:rsidRDefault="007935ED" w:rsidP="0041526E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>Health</w:t>
            </w:r>
            <w:r w:rsidR="007C7CC9">
              <w:rPr>
                <w:rFonts w:cstheme="minorHAnsi"/>
                <w:sz w:val="18"/>
                <w:szCs w:val="18"/>
                <w:lang w:val="en-GB"/>
              </w:rPr>
              <w:t>y</w:t>
            </w:r>
            <w:r w:rsidRPr="008A7186">
              <w:rPr>
                <w:rFonts w:cstheme="minorHAnsi"/>
                <w:sz w:val="18"/>
                <w:szCs w:val="18"/>
                <w:lang w:val="en-GB"/>
              </w:rPr>
              <w:t xml:space="preserve"> Communities</w:t>
            </w:r>
          </w:p>
        </w:tc>
      </w:tr>
      <w:tr w:rsidR="00870737" w:rsidRPr="00735879" w14:paraId="4F501D3C" w14:textId="77777777" w:rsidTr="00735879">
        <w:trPr>
          <w:trHeight w:val="350"/>
        </w:trPr>
        <w:tc>
          <w:tcPr>
            <w:tcW w:w="466" w:type="dxa"/>
          </w:tcPr>
          <w:p w14:paraId="3DF78C8E" w14:textId="75D564E1" w:rsidR="00870737" w:rsidRPr="008A7186" w:rsidRDefault="00870737" w:rsidP="00DC021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>5</w:t>
            </w:r>
          </w:p>
        </w:tc>
        <w:tc>
          <w:tcPr>
            <w:tcW w:w="2828" w:type="dxa"/>
          </w:tcPr>
          <w:p w14:paraId="5CD805BE" w14:textId="70699CC0" w:rsidR="00870737" w:rsidRPr="008A7186" w:rsidRDefault="00870737" w:rsidP="00DC021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>Values</w:t>
            </w:r>
          </w:p>
          <w:p w14:paraId="666121EA" w14:textId="77777777" w:rsidR="00870737" w:rsidRPr="008A7186" w:rsidRDefault="00870737" w:rsidP="00DC021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7071" w:type="dxa"/>
          </w:tcPr>
          <w:p w14:paraId="7F2855DF" w14:textId="1E66FD59" w:rsidR="00870737" w:rsidRPr="008A7186" w:rsidRDefault="00440D81" w:rsidP="0041526E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>Social justice, Teamwork, Transparency and Accountability, Participatory decision making, Personal development, Professionalism</w:t>
            </w:r>
            <w:r w:rsidR="007C7CC9">
              <w:rPr>
                <w:rFonts w:cstheme="minorHAnsi"/>
                <w:sz w:val="18"/>
                <w:szCs w:val="18"/>
                <w:lang w:val="en-GB"/>
              </w:rPr>
              <w:t>,</w:t>
            </w:r>
            <w:r w:rsidRPr="008A7186">
              <w:rPr>
                <w:rFonts w:cstheme="minorHAnsi"/>
                <w:sz w:val="18"/>
                <w:szCs w:val="18"/>
                <w:lang w:val="en-GB"/>
              </w:rPr>
              <w:t xml:space="preserve"> and Commitment to serving the poor which are encapsulated by the acronym STTIPPP-C</w:t>
            </w:r>
          </w:p>
          <w:p w14:paraId="375EEA52" w14:textId="7B8A2E8A" w:rsidR="00440D81" w:rsidRPr="008A7186" w:rsidRDefault="00440D81" w:rsidP="0041526E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870737" w:rsidRPr="00735879" w14:paraId="6DE1C188" w14:textId="77777777" w:rsidTr="0078519A">
        <w:trPr>
          <w:trHeight w:val="620"/>
        </w:trPr>
        <w:tc>
          <w:tcPr>
            <w:tcW w:w="466" w:type="dxa"/>
          </w:tcPr>
          <w:p w14:paraId="4F7E71A5" w14:textId="12ADB12A" w:rsidR="00870737" w:rsidRPr="008A7186" w:rsidRDefault="00870737" w:rsidP="00DC021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>6</w:t>
            </w:r>
          </w:p>
        </w:tc>
        <w:tc>
          <w:tcPr>
            <w:tcW w:w="2828" w:type="dxa"/>
          </w:tcPr>
          <w:p w14:paraId="40DAA188" w14:textId="406DA72C" w:rsidR="00870737" w:rsidRPr="008A7186" w:rsidRDefault="00DC0219" w:rsidP="00DC021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>Strategy</w:t>
            </w:r>
          </w:p>
          <w:p w14:paraId="1E73A90A" w14:textId="77777777" w:rsidR="00870737" w:rsidRPr="008A7186" w:rsidRDefault="00870737" w:rsidP="00DC021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7071" w:type="dxa"/>
          </w:tcPr>
          <w:p w14:paraId="71AA9C56" w14:textId="7011F9B3" w:rsidR="00426C08" w:rsidRPr="008A7186" w:rsidRDefault="00426C08" w:rsidP="0041526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7186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Facilitating communities and development actors to address shortcomings in top-down development using unique approaches that are anchored on the principles of sensitivity to potential gender, ethnic, socio-economic</w:t>
            </w:r>
            <w:r w:rsidR="007C7CC9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,</w:t>
            </w:r>
            <w:r w:rsidRPr="008A7186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and political conflicts.</w:t>
            </w:r>
          </w:p>
          <w:p w14:paraId="4C55D268" w14:textId="72E3A368" w:rsidR="00426C08" w:rsidRPr="008A7186" w:rsidRDefault="0041526E" w:rsidP="0041526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Mainstreaming </w:t>
            </w:r>
            <w:r w:rsidR="007C7CC9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p</w:t>
            </w:r>
            <w:r w:rsidR="00426C08" w:rsidRPr="008A7186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ublic-private partnership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s</w:t>
            </w:r>
            <w:r w:rsidR="00426C08" w:rsidRPr="008A7186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through </w:t>
            </w:r>
            <w:r w:rsidR="007C7CC9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the </w:t>
            </w:r>
            <w:r w:rsidR="00426C08" w:rsidRPr="008A7186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deliberate promotion of </w:t>
            </w:r>
            <w:r w:rsidR="007C7CC9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a </w:t>
            </w:r>
            <w:r w:rsidR="00903D3F" w:rsidRPr="008A7186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multisectoral</w:t>
            </w:r>
            <w:r w:rsidR="00426C08" w:rsidRPr="008A7186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approach to development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to improve the quality and relevance of critical services to the resource-poor communities.</w:t>
            </w:r>
          </w:p>
          <w:p w14:paraId="562894D0" w14:textId="5754444E" w:rsidR="00E12F93" w:rsidRPr="008A7186" w:rsidRDefault="00426C08" w:rsidP="0041526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7186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Empowering stakeholders to make their voices heard on issues that affect their lives and that o</w:t>
            </w:r>
            <w:r w:rsidR="00903D3F" w:rsidRPr="008A7186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f</w:t>
            </w:r>
            <w:r w:rsidR="00E12F93" w:rsidRPr="008A7186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</w:t>
            </w:r>
            <w:r w:rsidR="0041526E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the communities.</w:t>
            </w:r>
          </w:p>
        </w:tc>
      </w:tr>
      <w:tr w:rsidR="002D4525" w:rsidRPr="00735879" w14:paraId="0858C238" w14:textId="77777777" w:rsidTr="0078519A">
        <w:trPr>
          <w:trHeight w:val="530"/>
        </w:trPr>
        <w:tc>
          <w:tcPr>
            <w:tcW w:w="466" w:type="dxa"/>
          </w:tcPr>
          <w:p w14:paraId="245F18D1" w14:textId="260EDA24" w:rsidR="002D4525" w:rsidRPr="008A7186" w:rsidRDefault="002D4525" w:rsidP="002D4525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>7</w:t>
            </w:r>
          </w:p>
        </w:tc>
        <w:tc>
          <w:tcPr>
            <w:tcW w:w="2828" w:type="dxa"/>
          </w:tcPr>
          <w:p w14:paraId="6F47CAE3" w14:textId="22D365FB" w:rsidR="002D4525" w:rsidRPr="008A7186" w:rsidRDefault="002D4525" w:rsidP="002D4525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>Our work</w:t>
            </w:r>
          </w:p>
        </w:tc>
        <w:tc>
          <w:tcPr>
            <w:tcW w:w="7071" w:type="dxa"/>
          </w:tcPr>
          <w:p w14:paraId="58CD804E" w14:textId="581B74B6" w:rsidR="002D4525" w:rsidRPr="008A7186" w:rsidRDefault="00903D3F" w:rsidP="0041526E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 xml:space="preserve">Our niche is </w:t>
            </w:r>
            <w:r w:rsidR="007C7CC9">
              <w:rPr>
                <w:rFonts w:cstheme="minorHAnsi"/>
                <w:sz w:val="18"/>
                <w:szCs w:val="18"/>
                <w:lang w:val="en-GB"/>
              </w:rPr>
              <w:t xml:space="preserve">the </w:t>
            </w:r>
            <w:r w:rsidRPr="008A7186">
              <w:rPr>
                <w:rFonts w:cstheme="minorHAnsi"/>
                <w:sz w:val="18"/>
                <w:szCs w:val="18"/>
                <w:lang w:val="en-GB"/>
              </w:rPr>
              <w:t>delivery of training, advisory</w:t>
            </w:r>
            <w:r w:rsidR="007C7CC9">
              <w:rPr>
                <w:rFonts w:cstheme="minorHAnsi"/>
                <w:sz w:val="18"/>
                <w:szCs w:val="18"/>
                <w:lang w:val="en-GB"/>
              </w:rPr>
              <w:t>,</w:t>
            </w:r>
            <w:r w:rsidRPr="008A7186">
              <w:rPr>
                <w:rFonts w:cstheme="minorHAnsi"/>
                <w:sz w:val="18"/>
                <w:szCs w:val="18"/>
                <w:lang w:val="en-GB"/>
              </w:rPr>
              <w:t xml:space="preserve"> and mentorship services on </w:t>
            </w:r>
            <w:r w:rsidR="007C7CC9">
              <w:rPr>
                <w:rFonts w:cstheme="minorHAnsi"/>
                <w:sz w:val="18"/>
                <w:szCs w:val="18"/>
                <w:lang w:val="en-GB"/>
              </w:rPr>
              <w:t xml:space="preserve">an </w:t>
            </w:r>
            <w:r w:rsidRPr="008A7186">
              <w:rPr>
                <w:rFonts w:cstheme="minorHAnsi"/>
                <w:sz w:val="18"/>
                <w:szCs w:val="18"/>
                <w:lang w:val="en-GB"/>
              </w:rPr>
              <w:t>integrated program that focu</w:t>
            </w:r>
            <w:r w:rsidR="0041526E">
              <w:rPr>
                <w:rFonts w:cstheme="minorHAnsi"/>
                <w:sz w:val="18"/>
                <w:szCs w:val="18"/>
                <w:lang w:val="en-GB"/>
              </w:rPr>
              <w:t>se</w:t>
            </w:r>
            <w:r w:rsidRPr="008A7186">
              <w:rPr>
                <w:rFonts w:cstheme="minorHAnsi"/>
                <w:sz w:val="18"/>
                <w:szCs w:val="18"/>
                <w:lang w:val="en-GB"/>
              </w:rPr>
              <w:t>s on the sectors of health, economic empowerment, livelihoods, adolescents</w:t>
            </w:r>
            <w:r w:rsidR="0041526E">
              <w:rPr>
                <w:rFonts w:cstheme="minorHAnsi"/>
                <w:sz w:val="18"/>
                <w:szCs w:val="18"/>
                <w:lang w:val="en-GB"/>
              </w:rPr>
              <w:t>,</w:t>
            </w:r>
            <w:r w:rsidRPr="008A7186">
              <w:rPr>
                <w:rFonts w:cstheme="minorHAnsi"/>
                <w:sz w:val="18"/>
                <w:szCs w:val="18"/>
                <w:lang w:val="en-GB"/>
              </w:rPr>
              <w:t xml:space="preserve"> and youth.  Our </w:t>
            </w:r>
            <w:r w:rsidR="008A7186" w:rsidRPr="008A7186">
              <w:rPr>
                <w:rFonts w:cstheme="minorHAnsi"/>
                <w:sz w:val="18"/>
                <w:szCs w:val="18"/>
                <w:lang w:val="en-GB"/>
              </w:rPr>
              <w:t>strengths</w:t>
            </w:r>
            <w:r w:rsidRPr="008A7186">
              <w:rPr>
                <w:rFonts w:cstheme="minorHAnsi"/>
                <w:sz w:val="18"/>
                <w:szCs w:val="18"/>
                <w:lang w:val="en-GB"/>
              </w:rPr>
              <w:t xml:space="preserve"> are in public health, social enterprise (focusing on agribusiness) to enhance the performance and sustainability of projects. We incorporate best practices to achieve desire</w:t>
            </w:r>
            <w:r w:rsidR="0041526E">
              <w:rPr>
                <w:rFonts w:cstheme="minorHAnsi"/>
                <w:sz w:val="18"/>
                <w:szCs w:val="18"/>
                <w:lang w:val="en-GB"/>
              </w:rPr>
              <w:t xml:space="preserve">d </w:t>
            </w:r>
            <w:r w:rsidRPr="008A7186">
              <w:rPr>
                <w:rFonts w:cstheme="minorHAnsi"/>
                <w:sz w:val="18"/>
                <w:szCs w:val="18"/>
                <w:lang w:val="en-GB"/>
              </w:rPr>
              <w:t xml:space="preserve">results </w:t>
            </w:r>
            <w:r w:rsidR="0041526E">
              <w:rPr>
                <w:rFonts w:cstheme="minorHAnsi"/>
                <w:sz w:val="18"/>
                <w:szCs w:val="18"/>
                <w:lang w:val="en-GB"/>
              </w:rPr>
              <w:t>that</w:t>
            </w:r>
            <w:r w:rsidRPr="008A7186">
              <w:rPr>
                <w:rFonts w:cstheme="minorHAnsi"/>
                <w:sz w:val="18"/>
                <w:szCs w:val="18"/>
                <w:lang w:val="en-GB"/>
              </w:rPr>
              <w:t xml:space="preserve"> better serve our communities.</w:t>
            </w:r>
          </w:p>
          <w:p w14:paraId="303F52D0" w14:textId="7F4A19D2" w:rsidR="00903D3F" w:rsidRPr="008A7186" w:rsidRDefault="00903D3F" w:rsidP="0041526E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DC0219" w14:paraId="7C107D53" w14:textId="77777777" w:rsidTr="003C0B05">
        <w:trPr>
          <w:trHeight w:val="70"/>
        </w:trPr>
        <w:tc>
          <w:tcPr>
            <w:tcW w:w="466" w:type="dxa"/>
          </w:tcPr>
          <w:p w14:paraId="09723F4D" w14:textId="22FC0BED" w:rsidR="00DC0219" w:rsidRPr="008A7186" w:rsidRDefault="002D4525" w:rsidP="00DC021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>8</w:t>
            </w:r>
          </w:p>
        </w:tc>
        <w:tc>
          <w:tcPr>
            <w:tcW w:w="2828" w:type="dxa"/>
          </w:tcPr>
          <w:p w14:paraId="7EF32D68" w14:textId="669E1F70" w:rsidR="00DC0219" w:rsidRPr="008A7186" w:rsidRDefault="002D4525" w:rsidP="00DC021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>Write</w:t>
            </w:r>
            <w:r w:rsidR="007C7CC9">
              <w:rPr>
                <w:rFonts w:cstheme="minorHAnsi"/>
                <w:sz w:val="18"/>
                <w:szCs w:val="18"/>
                <w:lang w:val="en-GB"/>
              </w:rPr>
              <w:t>-</w:t>
            </w:r>
            <w:r w:rsidRPr="008A7186">
              <w:rPr>
                <w:rFonts w:cstheme="minorHAnsi"/>
                <w:sz w:val="18"/>
                <w:szCs w:val="18"/>
                <w:lang w:val="en-GB"/>
              </w:rPr>
              <w:t>ups for the old projects</w:t>
            </w:r>
          </w:p>
        </w:tc>
        <w:tc>
          <w:tcPr>
            <w:tcW w:w="7071" w:type="dxa"/>
          </w:tcPr>
          <w:p w14:paraId="75D2FE79" w14:textId="65A316A6" w:rsidR="00DC0219" w:rsidRPr="008A7186" w:rsidRDefault="00AA7709" w:rsidP="0041526E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  <w:r w:rsidRPr="0041526E">
              <w:rPr>
                <w:rFonts w:cstheme="minorHAnsi"/>
                <w:b/>
                <w:bCs/>
                <w:sz w:val="18"/>
                <w:szCs w:val="18"/>
                <w:lang w:val="en-GB"/>
              </w:rPr>
              <w:t xml:space="preserve">Indicator Development Surveillance for Urban Emergencies </w:t>
            </w:r>
            <w:r w:rsidR="0041526E" w:rsidRPr="0041526E">
              <w:rPr>
                <w:rFonts w:cstheme="minorHAnsi"/>
                <w:b/>
                <w:bCs/>
                <w:sz w:val="18"/>
                <w:szCs w:val="18"/>
                <w:lang w:val="en-GB"/>
              </w:rPr>
              <w:t>project</w:t>
            </w:r>
            <w:r w:rsidR="0041526E">
              <w:rPr>
                <w:rFonts w:cstheme="minorHAnsi"/>
                <w:sz w:val="18"/>
                <w:szCs w:val="18"/>
                <w:lang w:val="en-GB"/>
              </w:rPr>
              <w:t xml:space="preserve"> was implemented between 2012 and 2014.  It was longitudinal research in the urban informal settlements </w:t>
            </w:r>
            <w:r w:rsidR="0041526E">
              <w:rPr>
                <w:rFonts w:cstheme="minorHAnsi"/>
                <w:sz w:val="18"/>
                <w:szCs w:val="18"/>
                <w:lang w:val="en-GB"/>
              </w:rPr>
              <w:lastRenderedPageBreak/>
              <w:t>enabling urban slum dwellers to represent both a highly vulnerable and underserved population.  The key indicators compared conditions within the country, both in rural and urban settings.  The project enabled organizations working in the area prioritize intervention initiatives.</w:t>
            </w:r>
          </w:p>
          <w:p w14:paraId="207E9336" w14:textId="77777777" w:rsidR="008A7186" w:rsidRPr="008A7186" w:rsidRDefault="008A7186" w:rsidP="0041526E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</w:p>
          <w:p w14:paraId="41A0524F" w14:textId="5D790AC7" w:rsidR="00057654" w:rsidRPr="008A7186" w:rsidRDefault="00AA7709" w:rsidP="0041526E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b/>
                <w:sz w:val="18"/>
                <w:szCs w:val="18"/>
                <w:lang w:val="en-GB"/>
              </w:rPr>
              <w:t>Capacity Building Initiatives in Somalia</w:t>
            </w:r>
            <w:r w:rsidR="008A7186" w:rsidRPr="008A7186">
              <w:rPr>
                <w:rFonts w:cstheme="minorHAnsi"/>
                <w:b/>
                <w:sz w:val="18"/>
                <w:szCs w:val="18"/>
                <w:lang w:val="en-GB"/>
              </w:rPr>
              <w:t xml:space="preserve"> </w:t>
            </w:r>
            <w:r w:rsidR="008A7186" w:rsidRPr="008A7186">
              <w:rPr>
                <w:rFonts w:cstheme="minorHAnsi"/>
                <w:bCs/>
                <w:sz w:val="18"/>
                <w:szCs w:val="18"/>
                <w:lang w:val="en-GB"/>
              </w:rPr>
              <w:t>was implemented from 2006 to 2017 where</w:t>
            </w:r>
            <w:r w:rsidR="008A7186" w:rsidRPr="008A7186">
              <w:rPr>
                <w:rFonts w:cstheme="minorHAnsi"/>
                <w:b/>
                <w:sz w:val="18"/>
                <w:szCs w:val="18"/>
                <w:lang w:val="en-GB"/>
              </w:rPr>
              <w:t xml:space="preserve"> </w:t>
            </w:r>
            <w:r w:rsidR="002B1338" w:rsidRPr="008A7186">
              <w:rPr>
                <w:rFonts w:cstheme="minorHAnsi"/>
                <w:sz w:val="18"/>
                <w:szCs w:val="18"/>
                <w:lang w:val="en-GB"/>
              </w:rPr>
              <w:t>STIPA in partnership with UNICEF Somalia is implement</w:t>
            </w:r>
            <w:r w:rsidR="008A7186" w:rsidRPr="008A7186">
              <w:rPr>
                <w:rFonts w:cstheme="minorHAnsi"/>
                <w:sz w:val="18"/>
                <w:szCs w:val="18"/>
                <w:lang w:val="en-GB"/>
              </w:rPr>
              <w:t>ed</w:t>
            </w:r>
            <w:r w:rsidR="002B1338" w:rsidRPr="008A7186">
              <w:rPr>
                <w:rFonts w:cstheme="minorHAnsi"/>
                <w:sz w:val="18"/>
                <w:szCs w:val="18"/>
                <w:lang w:val="en-GB"/>
              </w:rPr>
              <w:t xml:space="preserve"> phase </w:t>
            </w:r>
            <w:r w:rsidR="00751E6A" w:rsidRPr="008A7186">
              <w:rPr>
                <w:rFonts w:cstheme="minorHAnsi"/>
                <w:sz w:val="18"/>
                <w:szCs w:val="18"/>
                <w:lang w:val="en-GB"/>
              </w:rPr>
              <w:t xml:space="preserve">II of the United Nations Joint </w:t>
            </w:r>
            <w:r w:rsidR="003E06A4" w:rsidRPr="008A7186">
              <w:rPr>
                <w:rFonts w:cstheme="minorHAnsi"/>
                <w:sz w:val="18"/>
                <w:szCs w:val="18"/>
                <w:lang w:val="en-GB"/>
              </w:rPr>
              <w:t xml:space="preserve">Programme on </w:t>
            </w:r>
            <w:r w:rsidR="007C7CC9">
              <w:rPr>
                <w:rFonts w:cstheme="minorHAnsi"/>
                <w:sz w:val="18"/>
                <w:szCs w:val="18"/>
                <w:lang w:val="en-GB"/>
              </w:rPr>
              <w:t>L</w:t>
            </w:r>
            <w:r w:rsidR="003E06A4" w:rsidRPr="008A7186">
              <w:rPr>
                <w:rFonts w:cstheme="minorHAnsi"/>
                <w:sz w:val="18"/>
                <w:szCs w:val="18"/>
                <w:lang w:val="en-GB"/>
              </w:rPr>
              <w:t>ocal Governance. The purpose of the project was to strengthen Local Government capacity in community participation in local planning and monitoring</w:t>
            </w:r>
            <w:r w:rsidR="00DE307C" w:rsidRPr="008A7186">
              <w:rPr>
                <w:rFonts w:cstheme="minorHAnsi"/>
                <w:sz w:val="18"/>
                <w:szCs w:val="18"/>
                <w:lang w:val="en-GB"/>
              </w:rPr>
              <w:t xml:space="preserve"> to restore confidence and credibility in the states of Somalia.</w:t>
            </w:r>
            <w:r w:rsidR="008A7186" w:rsidRPr="008A7186">
              <w:rPr>
                <w:rFonts w:cstheme="minorHAnsi"/>
                <w:sz w:val="18"/>
                <w:szCs w:val="18"/>
                <w:lang w:val="en-GB"/>
              </w:rPr>
              <w:t xml:space="preserve">  The subsequent project strengthened governance and resilience for improved service delivery to children and families in Somalia (Gedo Region).</w:t>
            </w:r>
          </w:p>
          <w:p w14:paraId="3EEEB5DB" w14:textId="3E826F73" w:rsidR="00AA7709" w:rsidRPr="008A7186" w:rsidRDefault="003E06A4" w:rsidP="0041526E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 xml:space="preserve">  </w:t>
            </w:r>
          </w:p>
          <w:p w14:paraId="2CFA64F2" w14:textId="4C103CB7" w:rsidR="00057654" w:rsidRPr="008A7186" w:rsidRDefault="00AA7709" w:rsidP="0041526E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b/>
                <w:sz w:val="18"/>
                <w:szCs w:val="18"/>
                <w:lang w:val="en-GB"/>
              </w:rPr>
              <w:t>Men Empowerment Project</w:t>
            </w:r>
            <w:r w:rsidR="008A7186" w:rsidRPr="008A7186">
              <w:rPr>
                <w:rFonts w:cstheme="minorHAnsi"/>
                <w:b/>
                <w:sz w:val="18"/>
                <w:szCs w:val="18"/>
                <w:lang w:val="en-GB"/>
              </w:rPr>
              <w:t xml:space="preserve"> </w:t>
            </w:r>
            <w:r w:rsidR="008A7186" w:rsidRPr="008A7186">
              <w:rPr>
                <w:rFonts w:cstheme="minorHAnsi"/>
                <w:bCs/>
                <w:sz w:val="18"/>
                <w:szCs w:val="18"/>
                <w:lang w:val="en-GB"/>
              </w:rPr>
              <w:t>w</w:t>
            </w:r>
            <w:r w:rsidR="009B7811" w:rsidRPr="008A7186">
              <w:rPr>
                <w:rFonts w:cstheme="minorHAnsi"/>
                <w:sz w:val="18"/>
                <w:szCs w:val="18"/>
                <w:lang w:val="en-GB"/>
              </w:rPr>
              <w:t>as implemented from March 2005 to December 2012 in a total of three phases</w:t>
            </w:r>
            <w:r w:rsidR="00CC7651" w:rsidRPr="008A7186">
              <w:rPr>
                <w:rFonts w:cstheme="minorHAnsi"/>
                <w:sz w:val="18"/>
                <w:szCs w:val="18"/>
                <w:lang w:val="en-GB"/>
              </w:rPr>
              <w:t>. The overall objective was to promote the productivity of men for poverty reduction through empowerment.</w:t>
            </w:r>
          </w:p>
          <w:p w14:paraId="280801B2" w14:textId="1CFF6D69" w:rsidR="00AA7709" w:rsidRPr="008A7186" w:rsidRDefault="00CC7651" w:rsidP="0041526E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 xml:space="preserve"> </w:t>
            </w:r>
            <w:r w:rsidR="009B7811" w:rsidRPr="008A7186">
              <w:rPr>
                <w:rFonts w:cstheme="minorHAnsi"/>
                <w:sz w:val="18"/>
                <w:szCs w:val="18"/>
                <w:lang w:val="en-GB"/>
              </w:rPr>
              <w:t xml:space="preserve"> </w:t>
            </w:r>
          </w:p>
          <w:p w14:paraId="1AB24CC1" w14:textId="07EF4439" w:rsidR="00AA7709" w:rsidRPr="008A7186" w:rsidRDefault="00AA7709" w:rsidP="0041526E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b/>
                <w:sz w:val="18"/>
                <w:szCs w:val="18"/>
                <w:lang w:val="en-GB"/>
              </w:rPr>
              <w:t>Community Peace Project</w:t>
            </w:r>
            <w:r w:rsidR="008A7186" w:rsidRPr="008A7186">
              <w:rPr>
                <w:rFonts w:cstheme="minorHAnsi"/>
                <w:b/>
                <w:sz w:val="18"/>
                <w:szCs w:val="18"/>
                <w:lang w:val="en-GB"/>
              </w:rPr>
              <w:t xml:space="preserve"> </w:t>
            </w:r>
            <w:r w:rsidR="008A7186" w:rsidRPr="008A7186">
              <w:rPr>
                <w:rFonts w:cstheme="minorHAnsi"/>
                <w:bCs/>
                <w:sz w:val="18"/>
                <w:szCs w:val="18"/>
                <w:lang w:val="en-GB"/>
              </w:rPr>
              <w:t>w</w:t>
            </w:r>
            <w:r w:rsidR="009B7811" w:rsidRPr="008A7186">
              <w:rPr>
                <w:rFonts w:cstheme="minorHAnsi"/>
                <w:bCs/>
                <w:sz w:val="18"/>
                <w:szCs w:val="18"/>
                <w:lang w:val="en-GB"/>
              </w:rPr>
              <w:t>a</w:t>
            </w:r>
            <w:r w:rsidR="009B7811" w:rsidRPr="008A7186">
              <w:rPr>
                <w:rFonts w:cstheme="minorHAnsi"/>
                <w:sz w:val="18"/>
                <w:szCs w:val="18"/>
                <w:lang w:val="en-GB"/>
              </w:rPr>
              <w:t xml:space="preserve">s implemented </w:t>
            </w:r>
            <w:r w:rsidR="007C7CC9">
              <w:rPr>
                <w:rFonts w:cstheme="minorHAnsi"/>
                <w:sz w:val="18"/>
                <w:szCs w:val="18"/>
                <w:lang w:val="en-GB"/>
              </w:rPr>
              <w:t>from</w:t>
            </w:r>
            <w:r w:rsidR="009B7811" w:rsidRPr="008A7186">
              <w:rPr>
                <w:rFonts w:cstheme="minorHAnsi"/>
                <w:sz w:val="18"/>
                <w:szCs w:val="18"/>
                <w:lang w:val="en-GB"/>
              </w:rPr>
              <w:t xml:space="preserve"> August 2009 to 2012 in Kisumu County. It was geared towards enhancing peace and mitigating conflict situations</w:t>
            </w:r>
            <w:r w:rsidR="008A7186" w:rsidRPr="008A7186">
              <w:rPr>
                <w:rFonts w:cstheme="minorHAnsi"/>
                <w:sz w:val="18"/>
                <w:szCs w:val="18"/>
                <w:lang w:val="en-GB"/>
              </w:rPr>
              <w:t xml:space="preserve"> amongst communities of different ethnic backgrounds</w:t>
            </w:r>
            <w:r w:rsidR="009B7811" w:rsidRPr="008A7186">
              <w:rPr>
                <w:rFonts w:cstheme="minorHAnsi"/>
                <w:sz w:val="18"/>
                <w:szCs w:val="18"/>
                <w:lang w:val="en-GB"/>
              </w:rPr>
              <w:t>.</w:t>
            </w:r>
          </w:p>
          <w:p w14:paraId="0E15124A" w14:textId="77777777" w:rsidR="00057654" w:rsidRPr="008A7186" w:rsidRDefault="00057654" w:rsidP="0041526E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</w:p>
          <w:p w14:paraId="596B5CC0" w14:textId="5C8BBA96" w:rsidR="00057654" w:rsidRPr="008A7186" w:rsidRDefault="00AA7709" w:rsidP="0041526E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b/>
                <w:sz w:val="18"/>
                <w:szCs w:val="18"/>
                <w:lang w:val="en-GB"/>
              </w:rPr>
              <w:t>HIV/AIDS Project</w:t>
            </w:r>
            <w:r w:rsidR="008A7186" w:rsidRPr="008A7186">
              <w:rPr>
                <w:rFonts w:cstheme="minorHAnsi"/>
                <w:b/>
                <w:sz w:val="18"/>
                <w:szCs w:val="18"/>
                <w:lang w:val="en-GB"/>
              </w:rPr>
              <w:t xml:space="preserve"> </w:t>
            </w:r>
            <w:r w:rsidR="008A7186" w:rsidRPr="008A7186">
              <w:rPr>
                <w:rFonts w:cstheme="minorHAnsi"/>
                <w:bCs/>
                <w:sz w:val="18"/>
                <w:szCs w:val="18"/>
                <w:lang w:val="en-GB"/>
              </w:rPr>
              <w:t>focused on increasing</w:t>
            </w:r>
            <w:r w:rsidR="008A7186" w:rsidRPr="008A7186">
              <w:rPr>
                <w:rFonts w:cstheme="minorHAnsi"/>
                <w:b/>
                <w:sz w:val="18"/>
                <w:szCs w:val="18"/>
                <w:lang w:val="en-GB"/>
              </w:rPr>
              <w:t xml:space="preserve"> </w:t>
            </w:r>
            <w:r w:rsidR="009B7811" w:rsidRPr="008A7186">
              <w:rPr>
                <w:rFonts w:cstheme="minorHAnsi"/>
                <w:sz w:val="18"/>
                <w:szCs w:val="18"/>
                <w:lang w:val="en-GB"/>
              </w:rPr>
              <w:t>participation of the youth in HIV/AIDS prevention care and support initiatives.</w:t>
            </w:r>
            <w:r w:rsidRPr="008A7186">
              <w:rPr>
                <w:rFonts w:cstheme="minorHAnsi"/>
                <w:sz w:val="18"/>
                <w:szCs w:val="18"/>
                <w:lang w:val="en-GB"/>
              </w:rPr>
              <w:t xml:space="preserve"> </w:t>
            </w:r>
          </w:p>
          <w:p w14:paraId="7781F2B1" w14:textId="4F486736" w:rsidR="008A7186" w:rsidRPr="008A7186" w:rsidRDefault="008A7186" w:rsidP="0041526E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</w:p>
          <w:p w14:paraId="27AC66A6" w14:textId="0827A6CB" w:rsidR="008A7186" w:rsidRPr="008A7186" w:rsidRDefault="008A7186" w:rsidP="0041526E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b/>
                <w:bCs/>
                <w:sz w:val="18"/>
                <w:szCs w:val="18"/>
                <w:lang w:val="en-GB"/>
              </w:rPr>
              <w:t>Life and Living HIV/AIDS/TB project</w:t>
            </w:r>
            <w:r w:rsidRPr="008A7186">
              <w:rPr>
                <w:rFonts w:cstheme="minorHAnsi"/>
                <w:sz w:val="18"/>
                <w:szCs w:val="18"/>
                <w:lang w:val="en-GB"/>
              </w:rPr>
              <w:t xml:space="preserve"> was implemented between 2007-2009 </w:t>
            </w:r>
            <w:r w:rsidR="007C7CC9">
              <w:rPr>
                <w:rFonts w:cstheme="minorHAnsi"/>
                <w:sz w:val="18"/>
                <w:szCs w:val="18"/>
                <w:lang w:val="en-GB"/>
              </w:rPr>
              <w:t>to promote</w:t>
            </w:r>
            <w:r w:rsidRPr="008A7186">
              <w:rPr>
                <w:rFonts w:cstheme="minorHAnsi"/>
                <w:sz w:val="18"/>
                <w:szCs w:val="18"/>
                <w:lang w:val="en-GB"/>
              </w:rPr>
              <w:t xml:space="preserve"> </w:t>
            </w:r>
            <w:r w:rsidR="007C7CC9">
              <w:rPr>
                <w:rFonts w:cstheme="minorHAnsi"/>
                <w:sz w:val="18"/>
                <w:szCs w:val="18"/>
                <w:lang w:val="en-GB"/>
              </w:rPr>
              <w:t xml:space="preserve">the </w:t>
            </w:r>
            <w:r w:rsidRPr="008A7186">
              <w:rPr>
                <w:rFonts w:cstheme="minorHAnsi"/>
                <w:sz w:val="18"/>
                <w:szCs w:val="18"/>
                <w:lang w:val="en-GB"/>
              </w:rPr>
              <w:t>social integration of people infected and affected by HIV/AIDS and TB.</w:t>
            </w:r>
          </w:p>
          <w:p w14:paraId="6D6D079E" w14:textId="06D2109D" w:rsidR="00AA7709" w:rsidRPr="008A7186" w:rsidRDefault="00AA7709" w:rsidP="0041526E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sz w:val="18"/>
                <w:szCs w:val="18"/>
                <w:lang w:val="en-GB"/>
              </w:rPr>
              <w:t xml:space="preserve"> </w:t>
            </w:r>
          </w:p>
          <w:p w14:paraId="5221F713" w14:textId="00CEDDD8" w:rsidR="00AA7709" w:rsidRPr="008A7186" w:rsidRDefault="00AA7709" w:rsidP="0041526E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  <w:r w:rsidRPr="008A7186">
              <w:rPr>
                <w:rFonts w:cstheme="minorHAnsi"/>
                <w:b/>
                <w:sz w:val="18"/>
                <w:szCs w:val="18"/>
                <w:lang w:val="en-GB"/>
              </w:rPr>
              <w:t>Water and Sanitation Project</w:t>
            </w:r>
            <w:r w:rsidR="008A7186" w:rsidRPr="008A7186">
              <w:rPr>
                <w:rFonts w:cstheme="minorHAnsi"/>
                <w:b/>
                <w:sz w:val="18"/>
                <w:szCs w:val="18"/>
                <w:lang w:val="en-GB"/>
              </w:rPr>
              <w:t xml:space="preserve"> </w:t>
            </w:r>
            <w:r w:rsidR="009B7811" w:rsidRPr="008A7186">
              <w:rPr>
                <w:rFonts w:cstheme="minorHAnsi"/>
                <w:sz w:val="18"/>
                <w:szCs w:val="18"/>
                <w:lang w:val="en-GB"/>
              </w:rPr>
              <w:t xml:space="preserve">was </w:t>
            </w:r>
            <w:r w:rsidR="00057654" w:rsidRPr="008A7186">
              <w:rPr>
                <w:rFonts w:cstheme="minorHAnsi"/>
                <w:sz w:val="18"/>
                <w:szCs w:val="18"/>
                <w:lang w:val="en-GB"/>
              </w:rPr>
              <w:t>implemented from</w:t>
            </w:r>
            <w:r w:rsidRPr="008A7186">
              <w:rPr>
                <w:rFonts w:cstheme="minorHAnsi"/>
                <w:sz w:val="18"/>
                <w:szCs w:val="18"/>
                <w:lang w:val="en-GB"/>
              </w:rPr>
              <w:t xml:space="preserve"> February 2007 to December 2008. The main objective was to improve access to safe water and </w:t>
            </w:r>
            <w:r w:rsidR="009B7811" w:rsidRPr="008A7186">
              <w:rPr>
                <w:rFonts w:cstheme="minorHAnsi"/>
                <w:sz w:val="18"/>
                <w:szCs w:val="18"/>
                <w:lang w:val="en-GB"/>
              </w:rPr>
              <w:t xml:space="preserve">sanitation facilities at </w:t>
            </w:r>
            <w:r w:rsidR="0041526E">
              <w:rPr>
                <w:rFonts w:cstheme="minorHAnsi"/>
                <w:sz w:val="18"/>
                <w:szCs w:val="18"/>
                <w:lang w:val="en-GB"/>
              </w:rPr>
              <w:t xml:space="preserve">the </w:t>
            </w:r>
            <w:r w:rsidR="009B7811" w:rsidRPr="008A7186">
              <w:rPr>
                <w:rFonts w:cstheme="minorHAnsi"/>
                <w:sz w:val="18"/>
                <w:szCs w:val="18"/>
                <w:lang w:val="en-GB"/>
              </w:rPr>
              <w:t>school level</w:t>
            </w:r>
            <w:r w:rsidR="008A7186" w:rsidRPr="008A7186">
              <w:rPr>
                <w:rFonts w:cstheme="minorHAnsi"/>
                <w:sz w:val="18"/>
                <w:szCs w:val="18"/>
                <w:lang w:val="en-GB"/>
              </w:rPr>
              <w:t xml:space="preserve"> to improve enrolment, retention</w:t>
            </w:r>
            <w:r w:rsidR="007C7CC9">
              <w:rPr>
                <w:rFonts w:cstheme="minorHAnsi"/>
                <w:sz w:val="18"/>
                <w:szCs w:val="18"/>
                <w:lang w:val="en-GB"/>
              </w:rPr>
              <w:t>,</w:t>
            </w:r>
            <w:r w:rsidR="008A7186" w:rsidRPr="008A7186">
              <w:rPr>
                <w:rFonts w:cstheme="minorHAnsi"/>
                <w:sz w:val="18"/>
                <w:szCs w:val="18"/>
                <w:lang w:val="en-GB"/>
              </w:rPr>
              <w:t xml:space="preserve"> and performance of children (especially girls)</w:t>
            </w:r>
            <w:r w:rsidR="009B7811" w:rsidRPr="008A7186">
              <w:rPr>
                <w:rFonts w:cstheme="minorHAnsi"/>
                <w:sz w:val="18"/>
                <w:szCs w:val="18"/>
                <w:lang w:val="en-GB"/>
              </w:rPr>
              <w:t>.</w:t>
            </w:r>
            <w:r w:rsidRPr="008A7186">
              <w:rPr>
                <w:rFonts w:cstheme="minorHAnsi"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08FEFA5B" w14:textId="4AE0F31A" w:rsidR="00592023" w:rsidRDefault="00592023"/>
    <w:sectPr w:rsidR="005920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851F2"/>
    <w:multiLevelType w:val="hybridMultilevel"/>
    <w:tmpl w:val="F5E2976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1C366A63"/>
    <w:multiLevelType w:val="hybridMultilevel"/>
    <w:tmpl w:val="494C6CDE"/>
    <w:lvl w:ilvl="0" w:tplc="A02AEFD2">
      <w:start w:val="1"/>
      <w:numFmt w:val="bullet"/>
      <w:lvlText w:val="-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1D2052"/>
    <w:multiLevelType w:val="hybridMultilevel"/>
    <w:tmpl w:val="49500288"/>
    <w:lvl w:ilvl="0" w:tplc="459023B8">
      <w:start w:val="1"/>
      <w:numFmt w:val="bullet"/>
      <w:lvlText w:val="•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62E7D"/>
    <w:multiLevelType w:val="hybridMultilevel"/>
    <w:tmpl w:val="7E200774"/>
    <w:lvl w:ilvl="0" w:tplc="459023B8">
      <w:start w:val="1"/>
      <w:numFmt w:val="bullet"/>
      <w:lvlText w:val="•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C43C9"/>
    <w:multiLevelType w:val="hybridMultilevel"/>
    <w:tmpl w:val="5F86FD4E"/>
    <w:lvl w:ilvl="0" w:tplc="445034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9EA0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F2442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CCB5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A6CCA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0677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C4A7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4888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DC78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3sLQ0NzQxtjAxMTBX0lEKTi0uzszPAykwrgUA1kfbzywAAAA="/>
  </w:docVars>
  <w:rsids>
    <w:rsidRoot w:val="00870737"/>
    <w:rsid w:val="00022AB4"/>
    <w:rsid w:val="00057654"/>
    <w:rsid w:val="00071413"/>
    <w:rsid w:val="001915B2"/>
    <w:rsid w:val="001F6D80"/>
    <w:rsid w:val="002B1338"/>
    <w:rsid w:val="002D4525"/>
    <w:rsid w:val="003C0B05"/>
    <w:rsid w:val="003E06A4"/>
    <w:rsid w:val="0041526E"/>
    <w:rsid w:val="00426C08"/>
    <w:rsid w:val="00440D81"/>
    <w:rsid w:val="00522140"/>
    <w:rsid w:val="00592023"/>
    <w:rsid w:val="005923B2"/>
    <w:rsid w:val="00637251"/>
    <w:rsid w:val="0068216A"/>
    <w:rsid w:val="0072370D"/>
    <w:rsid w:val="00735879"/>
    <w:rsid w:val="00751E6A"/>
    <w:rsid w:val="0078519A"/>
    <w:rsid w:val="007935ED"/>
    <w:rsid w:val="007C7CC9"/>
    <w:rsid w:val="007D77FE"/>
    <w:rsid w:val="007E7F15"/>
    <w:rsid w:val="00862376"/>
    <w:rsid w:val="00870737"/>
    <w:rsid w:val="008A7186"/>
    <w:rsid w:val="00903D3F"/>
    <w:rsid w:val="00950238"/>
    <w:rsid w:val="009B7811"/>
    <w:rsid w:val="00A25B46"/>
    <w:rsid w:val="00AA7709"/>
    <w:rsid w:val="00AF16DB"/>
    <w:rsid w:val="00B117B8"/>
    <w:rsid w:val="00B346F3"/>
    <w:rsid w:val="00CC7651"/>
    <w:rsid w:val="00D40413"/>
    <w:rsid w:val="00D87547"/>
    <w:rsid w:val="00DC0219"/>
    <w:rsid w:val="00DE307C"/>
    <w:rsid w:val="00E12F93"/>
    <w:rsid w:val="00FB6AB9"/>
    <w:rsid w:val="00F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96D6"/>
  <w15:chartTrackingRefBased/>
  <w15:docId w15:val="{59E1C2A2-34DE-4C39-BB2A-14FF6C48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0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7935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25B4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8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5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669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Shilovele</dc:creator>
  <cp:keywords/>
  <dc:description/>
  <cp:lastModifiedBy>STIPA Kenya</cp:lastModifiedBy>
  <cp:revision>3</cp:revision>
  <dcterms:created xsi:type="dcterms:W3CDTF">2020-11-03T12:55:00Z</dcterms:created>
  <dcterms:modified xsi:type="dcterms:W3CDTF">2020-11-03T13:25:00Z</dcterms:modified>
</cp:coreProperties>
</file>