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3241" w14:textId="0DE94F4F" w:rsidR="004C013F" w:rsidRPr="00E74427" w:rsidRDefault="00E74427" w:rsidP="00E74427">
      <w:pPr>
        <w:jc w:val="center"/>
        <w:rPr>
          <w:sz w:val="48"/>
          <w:szCs w:val="48"/>
        </w:rPr>
      </w:pPr>
      <w:r w:rsidRPr="00E74427">
        <w:rPr>
          <w:sz w:val="48"/>
          <w:szCs w:val="48"/>
        </w:rPr>
        <w:t>Directrices de pruebas y aseguramiento de la calidad</w:t>
      </w:r>
    </w:p>
    <w:sectPr w:rsidR="004C013F" w:rsidRPr="00E7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1C"/>
    <w:rsid w:val="00230F1C"/>
    <w:rsid w:val="004C013F"/>
    <w:rsid w:val="00E7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BF8666-A014-46CD-94D1-23BB42A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2023-05-12T17:24:00Z</dcterms:created>
  <dcterms:modified xsi:type="dcterms:W3CDTF">2023-05-12T17:25:00Z</dcterms:modified>
</cp:coreProperties>
</file>