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8C" w:rsidRPr="00B0018C" w:rsidRDefault="00B0018C" w:rsidP="00B0018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ITCFranklinGothicStd-Hvy" w:eastAsia="ITCFranklinGothicStd-Hvy" w:cs="ITCFranklinGothicStd-Hvy" w:hint="eastAsia"/>
          <w:color w:val="000000"/>
          <w:kern w:val="0"/>
          <w:sz w:val="16"/>
          <w:szCs w:val="16"/>
        </w:rPr>
      </w:pPr>
      <w:r w:rsidRPr="00B0018C">
        <w:rPr>
          <w:rFonts w:ascii="ITCFranklinGothicStd-Hvy" w:eastAsia="ITCFranklinGothicStd-Hvy" w:cs="ITCFranklinGothicStd-Hvy" w:hint="eastAsia"/>
          <w:color w:val="000000"/>
          <w:kern w:val="0"/>
          <w:sz w:val="16"/>
          <w:szCs w:val="16"/>
        </w:rPr>
        <w:t>bne的opcode是1100011，SB指令都是1100011，下表的SB指令opcode都要改</w:t>
      </w:r>
    </w:p>
    <w:p w:rsidR="00B0018C" w:rsidRDefault="00B0018C" w:rsidP="00ED70C0">
      <w:pPr>
        <w:autoSpaceDE w:val="0"/>
        <w:autoSpaceDN w:val="0"/>
        <w:adjustRightInd w:val="0"/>
        <w:jc w:val="left"/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</w:pPr>
      <w:r w:rsidRPr="00B0018C">
        <w:rPr>
          <w:rFonts w:ascii="ITCFranklinGothicStd-Hvy" w:eastAsia="ITCFranklinGothicStd-Hvy" w:cs="ITCFranklinGothicStd-Hvy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304540" cy="4876800"/>
            <wp:effectExtent l="0" t="0" r="0" b="0"/>
            <wp:docPr id="5" name="图片 5" descr="C:\DingTalkAppData\DingTalk\546030103_v2\ImageFiles\35\lALPD4PvNffFMHfNAoDNAbI_434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ngTalkAppData\DingTalk\546030103_v2\ImageFiles\35\lALPD4PvNffFMHfNAoDNAbI_434_6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470" w:rsidRDefault="00ED70C0" w:rsidP="00ED70C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</w:pPr>
      <w:r w:rsidRPr="00ED70C0"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  <w:t>P278</w:t>
      </w:r>
      <w:r w:rsidR="00596470"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  <w:t xml:space="preserve"> </w:t>
      </w:r>
      <w:r w:rsidR="00596470">
        <w:rPr>
          <w:rFonts w:ascii="ITCFranklinGothicStd-Hvy" w:eastAsia="ITCFranklinGothicStd-Hvy" w:cs="ITCFranklinGothicStd-Hvy" w:hint="eastAsia"/>
          <w:color w:val="000000"/>
          <w:kern w:val="0"/>
          <w:sz w:val="16"/>
          <w:szCs w:val="16"/>
        </w:rPr>
        <w:t>错误</w:t>
      </w:r>
      <w:r w:rsidRPr="00ED70C0"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  <w:t xml:space="preserve"> </w:t>
      </w:r>
    </w:p>
    <w:p w:rsidR="00ED70C0" w:rsidRPr="00ED70C0" w:rsidRDefault="00ED70C0" w:rsidP="00596470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2BFE5170" wp14:editId="15E67936">
            <wp:extent cx="5898391" cy="186706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C0" w:rsidRDefault="00ED70C0" w:rsidP="00ED70C0">
      <w:pPr>
        <w:autoSpaceDE w:val="0"/>
        <w:autoSpaceDN w:val="0"/>
        <w:adjustRightInd w:val="0"/>
        <w:jc w:val="left"/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</w:pPr>
    </w:p>
    <w:p w:rsidR="00ED70C0" w:rsidRDefault="00ED70C0" w:rsidP="00ED70C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 w:rsidRPr="00ED70C0">
        <w:rPr>
          <w:rFonts w:ascii="ITCFranklinGothicStd-Hvy" w:eastAsia="ITCFranklinGothicStd-Hvy" w:cs="ITCFranklinGothicStd-Hvy"/>
          <w:color w:val="000000"/>
          <w:kern w:val="0"/>
          <w:szCs w:val="21"/>
        </w:rPr>
        <w:t xml:space="preserve">FIGURE 4.32 Instructions being executed using the single-cycle datapath in </w:t>
      </w:r>
      <w:r w:rsidRPr="00ED70C0">
        <w:rPr>
          <w:rFonts w:ascii="ITCFranklinGothicStd-Hvy" w:eastAsia="ITCFranklinGothicStd-Hvy" w:cs="ITCFranklinGothicStd-Hvy"/>
          <w:color w:val="0081AD"/>
          <w:kern w:val="0"/>
          <w:szCs w:val="21"/>
        </w:rPr>
        <w:t>Figure 4.31</w:t>
      </w:r>
      <w:r w:rsidRPr="00ED70C0">
        <w:rPr>
          <w:rFonts w:ascii="ITCFranklinGothicStd-Hvy" w:eastAsia="ITCFranklinGothicStd-Hvy" w:cs="ITCFranklinGothicStd-Hvy"/>
          <w:color w:val="000000"/>
          <w:kern w:val="0"/>
          <w:szCs w:val="21"/>
        </w:rPr>
        <w:t>,</w:t>
      </w:r>
      <w:r w:rsidRPr="00ED70C0">
        <w:rPr>
          <w:rFonts w:ascii="ITCFranklinGothicStd-Hvy" w:eastAsia="ITCFranklinGothicStd-Hvy" w:cs="ITCFranklinGothicStd-Hvy"/>
          <w:color w:val="000000"/>
          <w:kern w:val="0"/>
          <w:szCs w:val="21"/>
        </w:rPr>
        <w:t>…</w:t>
      </w:r>
      <w:r w:rsidRPr="00ED70C0">
        <w:rPr>
          <w:rFonts w:ascii="ITCFranklinGothicStd-Hvy" w:eastAsia="ITCFranklinGothicStd-Hvy" w:cs="ITCFranklinGothicStd-Hvy"/>
          <w:color w:val="000000"/>
          <w:kern w:val="0"/>
          <w:szCs w:val="21"/>
        </w:rPr>
        <w:t xml:space="preserve">  assuming pipelined execution.</w:t>
      </w:r>
      <w:r w:rsidRPr="00ED70C0">
        <w:rPr>
          <w:rFonts w:ascii="MinionPro-Regular" w:eastAsia="MinionPro-Regular" w:cs="MinionPro-Regular"/>
          <w:kern w:val="0"/>
          <w:szCs w:val="21"/>
        </w:rPr>
        <w:t xml:space="preserve">parts: registers read during </w:t>
      </w:r>
      <w:r w:rsidRPr="00ED70C0">
        <w:rPr>
          <w:rFonts w:ascii="MinionPro-Regular" w:eastAsia="MinionPro-Regular" w:cs="MinionPro-Regular"/>
          <w:kern w:val="0"/>
          <w:szCs w:val="21"/>
          <w:highlight w:val="yellow"/>
        </w:rPr>
        <w:t>register</w:t>
      </w:r>
      <w:r w:rsidRPr="00ED70C0">
        <w:rPr>
          <w:rFonts w:ascii="MinionPro-Regular" w:eastAsia="MinionPro-Regular" w:cs="MinionPro-Regular"/>
          <w:kern w:val="0"/>
          <w:szCs w:val="21"/>
        </w:rPr>
        <w:t xml:space="preserve"> fetch (ID) and registers written during write back (WB). </w:t>
      </w:r>
    </w:p>
    <w:p w:rsidR="00ED70C0" w:rsidRDefault="00ED70C0" w:rsidP="00ED70C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 w:rsidRPr="00ED70C0">
        <w:rPr>
          <w:rFonts w:ascii="MinionPro-Regular" w:eastAsia="MinionPro-Regular" w:cs="MinionPro-Regular"/>
          <w:kern w:val="0"/>
          <w:szCs w:val="21"/>
          <w:highlight w:val="yellow"/>
        </w:rPr>
        <w:lastRenderedPageBreak/>
        <w:t>Register</w:t>
      </w:r>
      <w:r w:rsidRPr="00ED70C0">
        <w:rPr>
          <w:rFonts w:ascii="MinionPro-Regular" w:eastAsia="MinionPro-Regular" w:cs="MinionPro-Regular" w:hint="eastAsia"/>
          <w:kern w:val="0"/>
          <w:szCs w:val="21"/>
        </w:rPr>
        <w:t xml:space="preserve">改成 </w:t>
      </w:r>
      <w:r w:rsidRPr="00ED70C0">
        <w:rPr>
          <w:rFonts w:ascii="MinionPro-Regular" w:eastAsia="MinionPro-Regular" w:cs="MinionPro-Regular"/>
          <w:kern w:val="0"/>
          <w:szCs w:val="21"/>
        </w:rPr>
        <w:t>instruction</w:t>
      </w:r>
    </w:p>
    <w:p w:rsidR="00596470" w:rsidRDefault="00596470" w:rsidP="00ED70C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596470" w:rsidRDefault="00596470" w:rsidP="0059647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</w:pPr>
      <w:r w:rsidRPr="00596470"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  <w:t>P309</w:t>
      </w:r>
      <w:r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  <w:t xml:space="preserve"> </w:t>
      </w:r>
      <w:r>
        <w:rPr>
          <w:rFonts w:ascii="ITCFranklinGothicStd-Hvy" w:eastAsia="ITCFranklinGothicStd-Hvy" w:cs="ITCFranklinGothicStd-Hvy" w:hint="eastAsia"/>
          <w:color w:val="000000"/>
          <w:kern w:val="0"/>
          <w:sz w:val="16"/>
          <w:szCs w:val="16"/>
        </w:rPr>
        <w:t>错误</w:t>
      </w:r>
    </w:p>
    <w:p w:rsidR="00596470" w:rsidRDefault="00596470" w:rsidP="00ED70C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noProof/>
        </w:rPr>
        <w:drawing>
          <wp:inline distT="0" distB="0" distL="0" distR="0" wp14:anchorId="5ACFA99F" wp14:editId="1F4B54B8">
            <wp:extent cx="5372566" cy="38941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70" w:rsidRDefault="00596470" w:rsidP="00596470">
      <w:pPr>
        <w:autoSpaceDE w:val="0"/>
        <w:autoSpaceDN w:val="0"/>
        <w:adjustRightInd w:val="0"/>
        <w:snapToGri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a stall will be required, since the </w:t>
      </w:r>
      <w:r w:rsidRPr="00596470">
        <w:rPr>
          <w:rFonts w:ascii="MinionPro-Regular" w:eastAsia="MinionPro-Regular" w:cs="MinionPro-Regular"/>
          <w:kern w:val="0"/>
          <w:szCs w:val="21"/>
          <w:highlight w:val="yellow"/>
        </w:rPr>
        <w:t>EX stage</w:t>
      </w:r>
      <w:r>
        <w:rPr>
          <w:rFonts w:ascii="MinionPro-Regular" w:eastAsia="MinionPro-Regular" w:cs="MinionPro-Regular"/>
          <w:kern w:val="0"/>
          <w:szCs w:val="21"/>
        </w:rPr>
        <w:t xml:space="preserve"> for the ALU instruction will occur after the ID cycle of the branch.   ==》a stall will be required, since the </w:t>
      </w:r>
      <w:r w:rsidRPr="00596470">
        <w:rPr>
          <w:rFonts w:ascii="MinionPro-Regular" w:eastAsia="MinionPro-Regular" w:cs="MinionPro-Regular"/>
          <w:kern w:val="0"/>
          <w:szCs w:val="21"/>
          <w:highlight w:val="yellow"/>
        </w:rPr>
        <w:t>MEM stage</w:t>
      </w:r>
      <w:r>
        <w:rPr>
          <w:rFonts w:ascii="MinionPro-Regular" w:eastAsia="MinionPro-Regular" w:cs="MinionPro-Regular"/>
          <w:kern w:val="0"/>
          <w:szCs w:val="21"/>
        </w:rPr>
        <w:t xml:space="preserve"> for the ALU instruction will occur after the ID cycle of the branch.</w:t>
      </w:r>
    </w:p>
    <w:p w:rsidR="00AC53EA" w:rsidRDefault="00AC53EA" w:rsidP="00596470">
      <w:pPr>
        <w:autoSpaceDE w:val="0"/>
        <w:autoSpaceDN w:val="0"/>
        <w:adjustRightInd w:val="0"/>
        <w:snapToGri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AC53EA" w:rsidRDefault="00AC53EA" w:rsidP="00AC53E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</w:pPr>
      <w:r w:rsidRPr="00596470"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  <w:t>P3</w:t>
      </w:r>
      <w:r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  <w:t xml:space="preserve">13 </w:t>
      </w:r>
      <w:r>
        <w:rPr>
          <w:rFonts w:ascii="ITCFranklinGothicStd-Hvy" w:eastAsia="ITCFranklinGothicStd-Hvy" w:cs="ITCFranklinGothicStd-Hvy" w:hint="eastAsia"/>
          <w:color w:val="000000"/>
          <w:kern w:val="0"/>
          <w:sz w:val="16"/>
          <w:szCs w:val="16"/>
        </w:rPr>
        <w:t>错误</w:t>
      </w:r>
    </w:p>
    <w:p w:rsidR="00AC53EA" w:rsidRPr="00ED70C0" w:rsidRDefault="00AC53EA" w:rsidP="00596470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:rsidR="00596470" w:rsidRDefault="00AC53EA" w:rsidP="00596470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E2BA84B" wp14:editId="390C278C">
            <wp:extent cx="6192520" cy="4177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EA" w:rsidRDefault="00AC53EA" w:rsidP="00596470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上面</w:t>
      </w:r>
      <w:r>
        <w:rPr>
          <w:szCs w:val="21"/>
        </w:rPr>
        <w:t>红线画出的话有错</w:t>
      </w:r>
    </w:p>
    <w:p w:rsidR="00695EA0" w:rsidRDefault="00695EA0" w:rsidP="00596470">
      <w:pPr>
        <w:autoSpaceDE w:val="0"/>
        <w:autoSpaceDN w:val="0"/>
        <w:adjustRightInd w:val="0"/>
        <w:jc w:val="left"/>
        <w:rPr>
          <w:szCs w:val="21"/>
        </w:rPr>
      </w:pPr>
    </w:p>
    <w:p w:rsidR="00695EA0" w:rsidRDefault="00695EA0" w:rsidP="00695EA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</w:pPr>
      <w:r w:rsidRPr="00596470"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  <w:t>P3</w:t>
      </w:r>
      <w:r>
        <w:rPr>
          <w:rFonts w:ascii="ITCFranklinGothicStd-Hvy" w:eastAsia="ITCFranklinGothicStd-Hvy" w:cs="ITCFranklinGothicStd-Hvy"/>
          <w:color w:val="000000"/>
          <w:kern w:val="0"/>
          <w:sz w:val="16"/>
          <w:szCs w:val="16"/>
        </w:rPr>
        <w:t xml:space="preserve">16 </w:t>
      </w:r>
      <w:r>
        <w:rPr>
          <w:rFonts w:ascii="ITCFranklinGothicStd-Hvy" w:eastAsia="ITCFranklinGothicStd-Hvy" w:cs="ITCFranklinGothicStd-Hvy" w:hint="eastAsia"/>
          <w:color w:val="000000"/>
          <w:kern w:val="0"/>
          <w:sz w:val="16"/>
          <w:szCs w:val="16"/>
        </w:rPr>
        <w:t>错误</w:t>
      </w:r>
    </w:p>
    <w:p w:rsidR="00695EA0" w:rsidRDefault="00695EA0" w:rsidP="00596470">
      <w:pPr>
        <w:autoSpaceDE w:val="0"/>
        <w:autoSpaceDN w:val="0"/>
        <w:adjustRightInd w:val="0"/>
        <w:jc w:val="left"/>
        <w:rPr>
          <w:szCs w:val="21"/>
        </w:rPr>
      </w:pPr>
    </w:p>
    <w:p w:rsidR="00695EA0" w:rsidRDefault="00695EA0" w:rsidP="00596470">
      <w:pPr>
        <w:autoSpaceDE w:val="0"/>
        <w:autoSpaceDN w:val="0"/>
        <w:adjustRightInd w:val="0"/>
        <w:jc w:val="left"/>
        <w:rPr>
          <w:szCs w:val="21"/>
        </w:rPr>
      </w:pPr>
    </w:p>
    <w:p w:rsidR="00695EA0" w:rsidRDefault="00695EA0" w:rsidP="00596470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</w:rPr>
        <w:drawing>
          <wp:inline distT="0" distB="0" distL="0" distR="0" wp14:anchorId="1DB2A5D0" wp14:editId="1A674B5B">
            <wp:extent cx="6192520" cy="1946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A0" w:rsidRDefault="00695EA0" w:rsidP="00695EA0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上面</w:t>
      </w:r>
      <w:r>
        <w:rPr>
          <w:szCs w:val="21"/>
        </w:rPr>
        <w:t>红线画出的话有错</w:t>
      </w:r>
      <w:r>
        <w:rPr>
          <w:rFonts w:hint="eastAsia"/>
          <w:szCs w:val="21"/>
        </w:rPr>
        <w:t>，</w:t>
      </w:r>
      <w:r>
        <w:rPr>
          <w:szCs w:val="21"/>
        </w:rPr>
        <w:t>正确的是</w:t>
      </w:r>
      <w:r w:rsidRPr="00695EA0">
        <w:rPr>
          <w:szCs w:val="21"/>
          <w:highlight w:val="yellow"/>
        </w:rPr>
        <w:t>Supervisor Exception Program Counter</w:t>
      </w:r>
      <w:r>
        <w:rPr>
          <w:rFonts w:hint="eastAsia"/>
          <w:szCs w:val="21"/>
        </w:rPr>
        <w:t>。</w:t>
      </w:r>
    </w:p>
    <w:p w:rsidR="00695EA0" w:rsidRPr="00596470" w:rsidRDefault="00695EA0" w:rsidP="00596470">
      <w:pPr>
        <w:autoSpaceDE w:val="0"/>
        <w:autoSpaceDN w:val="0"/>
        <w:adjustRightInd w:val="0"/>
        <w:jc w:val="left"/>
        <w:rPr>
          <w:szCs w:val="21"/>
        </w:rPr>
      </w:pPr>
    </w:p>
    <w:sectPr w:rsidR="00695EA0" w:rsidRPr="00596470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BC3" w:rsidRDefault="009C3BC3" w:rsidP="00ED70C0">
      <w:r>
        <w:separator/>
      </w:r>
    </w:p>
  </w:endnote>
  <w:endnote w:type="continuationSeparator" w:id="0">
    <w:p w:rsidR="009C3BC3" w:rsidRDefault="009C3BC3" w:rsidP="00ED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CFranklinGothicStd-Hvy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Pro-Regular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BC3" w:rsidRDefault="009C3BC3" w:rsidP="00ED70C0">
      <w:r>
        <w:separator/>
      </w:r>
    </w:p>
  </w:footnote>
  <w:footnote w:type="continuationSeparator" w:id="0">
    <w:p w:rsidR="009C3BC3" w:rsidRDefault="009C3BC3" w:rsidP="00ED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A0584"/>
    <w:multiLevelType w:val="hybridMultilevel"/>
    <w:tmpl w:val="86B41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73432"/>
    <w:multiLevelType w:val="hybridMultilevel"/>
    <w:tmpl w:val="5016D426"/>
    <w:lvl w:ilvl="0" w:tplc="DCC4C9E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66"/>
    <w:rsid w:val="001D0953"/>
    <w:rsid w:val="003229F1"/>
    <w:rsid w:val="0056189C"/>
    <w:rsid w:val="00596470"/>
    <w:rsid w:val="00695EA0"/>
    <w:rsid w:val="009A2766"/>
    <w:rsid w:val="009C3BC3"/>
    <w:rsid w:val="00AC53EA"/>
    <w:rsid w:val="00B0018C"/>
    <w:rsid w:val="00B3571A"/>
    <w:rsid w:val="00DA4140"/>
    <w:rsid w:val="00E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4E623-ED84-4D20-9EE7-77562CD3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0C0"/>
    <w:rPr>
      <w:sz w:val="18"/>
      <w:szCs w:val="18"/>
    </w:rPr>
  </w:style>
  <w:style w:type="paragraph" w:styleId="a5">
    <w:name w:val="List Paragraph"/>
    <w:basedOn w:val="a"/>
    <w:uiPriority w:val="34"/>
    <w:qFormat/>
    <w:rsid w:val="00ED70C0"/>
    <w:pPr>
      <w:ind w:firstLineChars="200" w:firstLine="420"/>
    </w:pPr>
  </w:style>
  <w:style w:type="character" w:styleId="a6">
    <w:name w:val="Emphasis"/>
    <w:basedOn w:val="a0"/>
    <w:uiPriority w:val="20"/>
    <w:qFormat/>
    <w:rsid w:val="00695E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lukj</cp:lastModifiedBy>
  <cp:revision>3</cp:revision>
  <dcterms:created xsi:type="dcterms:W3CDTF">2022-01-22T15:46:00Z</dcterms:created>
  <dcterms:modified xsi:type="dcterms:W3CDTF">2022-01-22T15:48:00Z</dcterms:modified>
</cp:coreProperties>
</file>