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Software Team Control Center</w:t>
      </w:r>
    </w:p>
    <w:p>
      <w:pPr>
        <w:pStyle w:val="Subtitle"/>
      </w:pPr>
      <w:r>
        <w:t>Product Requirements Document</w:t>
      </w:r>
    </w:p>
    <w:p>
      <w:r>
        <w:t>Version 1.0  |  28 September 2026  |  Baseline for product and engineering approval</w:t>
      </w:r>
    </w:p>
    <w:p>
      <w:pPr>
        <w:pStyle w:val="Heading2"/>
      </w:pPr>
      <w:r>
        <w:t>Purpose and decision</w:t>
      </w:r>
    </w:p>
    <w:p>
      <w:r>
        <w:t>Build a controlled workspace that turns a product request into reviewed, tested code with traceable human decisions. This document defines the users, outcomes, MVP boundaries and release criteria. The companion FRD specifies behavior and interfaces for implementation.</w:t>
      </w:r>
    </w:p>
    <w:p>
      <w:r>
        <w:t>The Control Center owns workflow state and permissions. Gemini with an optional Antigravity workspace performs business analysis; Claude Code implements software and UX; Codex independently verifies the result; local Ollama supplies supervised, low-complexity work. Humans approve requirements, merges, and production releases.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73"/>
      </w:tblGrid>
      <w:tr>
        <w:trPr>
          <w:cantSplit/>
          <w:tblHeader/>
        </w:trPr>
        <w:tc>
          <w:tcPr>
            <w:tcW w:type="dxa" w:w="2376"/>
            <w:vAlign w:val="center"/>
            <w:shd w:fill="183B56"/>
            <w:tcMar>
              <w:top w:w="85" w:type="dxa"/>
              <w:left w:w="85" w:type="dxa"/>
              <w:bottom w:w="85" w:type="dxa"/>
              <w:right w:w="85" w:type="dxa"/>
            </w:tcMar>
          </w:tcPr>
          <w:p>
            <w:pPr>
              <w:spacing w:after="40" w:line="245" w:lineRule="auto"/>
            </w:pPr>
            <w:r>
              <w:rPr>
                <w:b/>
                <w:color w:val="FFFFFF"/>
                <w:sz w:val="18"/>
              </w:rPr>
              <w:t>Document control</w:t>
            </w:r>
          </w:p>
        </w:tc>
        <w:tc>
          <w:tcPr>
            <w:tcW w:type="dxa" w:w="7373"/>
            <w:vAlign w:val="center"/>
            <w:shd w:fill="183B56"/>
            <w:tcMar>
              <w:top w:w="85" w:type="dxa"/>
              <w:left w:w="85" w:type="dxa"/>
              <w:bottom w:w="85" w:type="dxa"/>
              <w:right w:w="85" w:type="dxa"/>
            </w:tcMar>
          </w:tcPr>
          <w:p>
            <w:pPr>
              <w:spacing w:after="40" w:line="245" w:lineRule="auto"/>
            </w:pPr>
            <w:r>
              <w:rPr>
                <w:b/>
                <w:color w:val="FFFFFF"/>
                <w:sz w:val="18"/>
              </w:rPr>
              <w:t>Value</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Accountable owner</w:t>
            </w:r>
          </w:p>
        </w:tc>
        <w:tc>
          <w:tcPr>
            <w:tcW w:type="dxa" w:w="7373"/>
            <w:vAlign w:val="center"/>
            <w:shd w:fill="F1F5F8"/>
            <w:tcMar>
              <w:top w:w="85" w:type="dxa"/>
              <w:left w:w="85" w:type="dxa"/>
              <w:bottom w:w="85" w:type="dxa"/>
              <w:right w:w="85" w:type="dxa"/>
            </w:tcMar>
          </w:tcPr>
          <w:p>
            <w:pPr>
              <w:spacing w:after="40" w:line="245" w:lineRule="auto"/>
            </w:pPr>
            <w:r>
              <w:rPr>
                <w:sz w:val="18"/>
              </w:rPr>
              <w:t>Product Lead</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Technical owner</w:t>
            </w:r>
          </w:p>
        </w:tc>
        <w:tc>
          <w:tcPr>
            <w:tcW w:type="dxa" w:w="7373"/>
            <w:vAlign w:val="center"/>
            <w:shd w:fill="FFFFFF"/>
            <w:tcMar>
              <w:top w:w="85" w:type="dxa"/>
              <w:left w:w="85" w:type="dxa"/>
              <w:bottom w:w="85" w:type="dxa"/>
              <w:right w:w="85" w:type="dxa"/>
            </w:tcMar>
          </w:tcPr>
          <w:p>
            <w:pPr>
              <w:spacing w:after="40" w:line="245" w:lineRule="auto"/>
            </w:pPr>
            <w:r>
              <w:rPr>
                <w:sz w:val="18"/>
              </w:rPr>
              <w:t>Engineering Lead</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Reviewers</w:t>
            </w:r>
          </w:p>
        </w:tc>
        <w:tc>
          <w:tcPr>
            <w:tcW w:type="dxa" w:w="7373"/>
            <w:vAlign w:val="center"/>
            <w:shd w:fill="F1F5F8"/>
            <w:tcMar>
              <w:top w:w="85" w:type="dxa"/>
              <w:left w:w="85" w:type="dxa"/>
              <w:bottom w:w="85" w:type="dxa"/>
              <w:right w:w="85" w:type="dxa"/>
            </w:tcMar>
          </w:tcPr>
          <w:p>
            <w:pPr>
              <w:spacing w:after="40" w:line="245" w:lineRule="auto"/>
            </w:pPr>
            <w:r>
              <w:rPr>
                <w:sz w:val="18"/>
              </w:rPr>
              <w:t>Product, engineering, QA, security and operations</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Companion document</w:t>
            </w:r>
          </w:p>
        </w:tc>
        <w:tc>
          <w:tcPr>
            <w:tcW w:type="dxa" w:w="7373"/>
            <w:vAlign w:val="center"/>
            <w:shd w:fill="FFFFFF"/>
            <w:tcMar>
              <w:top w:w="85" w:type="dxa"/>
              <w:left w:w="85" w:type="dxa"/>
              <w:bottom w:w="85" w:type="dxa"/>
              <w:right w:w="85" w:type="dxa"/>
            </w:tcMar>
          </w:tcPr>
          <w:p>
            <w:pPr>
              <w:spacing w:after="40" w:line="245" w:lineRule="auto"/>
            </w:pPr>
            <w:r>
              <w:rPr>
                <w:sz w:val="18"/>
              </w:rPr>
              <w:t>FRD version 1.0</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Change control</w:t>
            </w:r>
          </w:p>
        </w:tc>
        <w:tc>
          <w:tcPr>
            <w:tcW w:type="dxa" w:w="7373"/>
            <w:vAlign w:val="center"/>
            <w:shd w:fill="F1F5F8"/>
            <w:tcMar>
              <w:top w:w="85" w:type="dxa"/>
              <w:left w:w="85" w:type="dxa"/>
              <w:bottom w:w="85" w:type="dxa"/>
              <w:right w:w="85" w:type="dxa"/>
            </w:tcMar>
          </w:tcPr>
          <w:p>
            <w:pPr>
              <w:spacing w:after="40" w:line="245" w:lineRule="auto"/>
            </w:pPr>
            <w:r>
              <w:rPr>
                <w:sz w:val="18"/>
              </w:rPr>
              <w:t>Versioned decisions with impact review; approval required before changing the delivery baseline.</w:t>
            </w:r>
          </w:p>
        </w:tc>
      </w:tr>
    </w:tbl>
    <w:p>
      <w:pPr>
        <w:spacing w:after="0"/>
      </w:pPr>
    </w:p>
    <w:p>
      <w:pPr>
        <w:pStyle w:val="Heading2"/>
      </w:pPr>
      <w:r>
        <w:t>Reading map</w:t>
      </w:r>
    </w:p>
    <w:p>
      <w:r>
        <w:t>1  Product outcomes and users</w:t>
      </w:r>
    </w:p>
    <w:p>
      <w:r>
        <w:t>2  Scope and product requirements</w:t>
      </w:r>
    </w:p>
    <w:p>
      <w:r>
        <w:t>3  Delivery journey and approvals</w:t>
      </w:r>
    </w:p>
    <w:p>
      <w:r>
        <w:t>4  Experience and operating model</w:t>
      </w:r>
    </w:p>
    <w:p>
      <w:r>
        <w:t>5  Quality security and measurement</w:t>
      </w:r>
    </w:p>
    <w:p>
      <w:r>
        <w:t>6  Delivery plan risks and roadmap</w:t>
      </w:r>
    </w:p>
    <w:p>
      <w:r>
        <w:t>Normative language: “must” denotes a release requirement. Numerical limits are proposed baseline targets, configurable only through audited policy changes. Approval of these documents establishes the initial implementation baseline.</w:t>
      </w:r>
    </w:p>
    <w:p>
      <w:r>
        <w:br w:type="page"/>
      </w:r>
    </w:p>
    <w:p>
      <w:pPr>
        <w:pStyle w:val="Heading1"/>
      </w:pPr>
      <w:r>
        <w:t>1 Product outcomes and users</w:t>
      </w:r>
    </w:p>
    <w:p>
      <w:pPr>
        <w:pStyle w:val="Heading2"/>
      </w:pPr>
      <w:r>
        <w:t>Problem and value</w:t>
      </w:r>
    </w:p>
    <w:p>
      <w:r>
        <w:t>Using several AI coding tools requires people to copy requirements, coordinate branches, interpret inconsistent reports, track spending and decide whether work is safe to merge. Context is easily lost, multiple agents can overwrite the same work, and a confident completion statement can be mistaken for test evidence. The Control Center centralizes these handoffs while preserving role separation and human accountability.</w:t>
      </w:r>
    </w:p>
    <w:p>
      <w:r>
        <w:t>The primary outcome is a reproducible path from an approved specification to an approved GitHub merge. Each ticket connects its requirement version, implementation commit, test evidence, costs and approvals. The interface prioritizes work status and decisions requiring attention rather than an unstructured group chat.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04"/>
        <w:gridCol w:w="3701"/>
      </w:tblGrid>
      <w:tr>
        <w:trPr>
          <w:cantSplit/>
          <w:tblHeader/>
        </w:trPr>
        <w:tc>
          <w:tcPr>
            <w:tcW w:type="dxa" w:w="1944"/>
            <w:vAlign w:val="center"/>
            <w:shd w:fill="183B56"/>
            <w:tcMar>
              <w:top w:w="85" w:type="dxa"/>
              <w:left w:w="85" w:type="dxa"/>
              <w:bottom w:w="85" w:type="dxa"/>
              <w:right w:w="85" w:type="dxa"/>
            </w:tcMar>
          </w:tcPr>
          <w:p>
            <w:pPr>
              <w:spacing w:after="40" w:line="245" w:lineRule="auto"/>
            </w:pPr>
            <w:r>
              <w:rPr>
                <w:b/>
                <w:color w:val="FFFFFF"/>
                <w:sz w:val="18"/>
              </w:rPr>
              <w:t>User</w:t>
            </w:r>
          </w:p>
        </w:tc>
        <w:tc>
          <w:tcPr>
            <w:tcW w:type="dxa" w:w="4104"/>
            <w:vAlign w:val="center"/>
            <w:shd w:fill="183B56"/>
            <w:tcMar>
              <w:top w:w="85" w:type="dxa"/>
              <w:left w:w="85" w:type="dxa"/>
              <w:bottom w:w="85" w:type="dxa"/>
              <w:right w:w="85" w:type="dxa"/>
            </w:tcMar>
          </w:tcPr>
          <w:p>
            <w:pPr>
              <w:spacing w:after="40" w:line="245" w:lineRule="auto"/>
            </w:pPr>
            <w:r>
              <w:rPr>
                <w:b/>
                <w:color w:val="FFFFFF"/>
                <w:sz w:val="18"/>
              </w:rPr>
              <w:t>Job to be done</w:t>
            </w:r>
          </w:p>
        </w:tc>
        <w:tc>
          <w:tcPr>
            <w:tcW w:type="dxa" w:w="3701"/>
            <w:vAlign w:val="center"/>
            <w:shd w:fill="183B56"/>
            <w:tcMar>
              <w:top w:w="85" w:type="dxa"/>
              <w:left w:w="85" w:type="dxa"/>
              <w:bottom w:w="85" w:type="dxa"/>
              <w:right w:w="85" w:type="dxa"/>
            </w:tcMar>
          </w:tcPr>
          <w:p>
            <w:pPr>
              <w:spacing w:after="40" w:line="245" w:lineRule="auto"/>
            </w:pPr>
            <w:r>
              <w:rPr>
                <w:b/>
                <w:color w:val="FFFFFF"/>
                <w:sz w:val="18"/>
              </w:rPr>
              <w:t>Success condition</w:t>
            </w:r>
          </w:p>
        </w:tc>
      </w:tr>
      <w:tr>
        <w:trPr>
          <w:cantSplit/>
        </w:trPr>
        <w:tc>
          <w:tcPr>
            <w:tcW w:type="dxa" w:w="1944"/>
            <w:vAlign w:val="center"/>
            <w:shd w:fill="F1F5F8"/>
            <w:tcMar>
              <w:top w:w="85" w:type="dxa"/>
              <w:left w:w="85" w:type="dxa"/>
              <w:bottom w:w="85" w:type="dxa"/>
              <w:right w:w="85" w:type="dxa"/>
            </w:tcMar>
          </w:tcPr>
          <w:p>
            <w:pPr>
              <w:spacing w:after="40" w:line="245" w:lineRule="auto"/>
            </w:pPr>
            <w:r>
              <w:rPr>
                <w:sz w:val="18"/>
              </w:rPr>
              <w:t>Product Lead</w:t>
            </w:r>
          </w:p>
        </w:tc>
        <w:tc>
          <w:tcPr>
            <w:tcW w:type="dxa" w:w="4104"/>
            <w:vAlign w:val="center"/>
            <w:shd w:fill="F1F5F8"/>
            <w:tcMar>
              <w:top w:w="85" w:type="dxa"/>
              <w:left w:w="85" w:type="dxa"/>
              <w:bottom w:w="85" w:type="dxa"/>
              <w:right w:w="85" w:type="dxa"/>
            </w:tcMar>
          </w:tcPr>
          <w:p>
            <w:pPr>
              <w:spacing w:after="40" w:line="245" w:lineRule="auto"/>
            </w:pPr>
            <w:r>
              <w:rPr>
                <w:sz w:val="18"/>
              </w:rPr>
              <w:t>Prioritize requests, resolve business questions, approve scope and releases.</w:t>
            </w:r>
          </w:p>
        </w:tc>
        <w:tc>
          <w:tcPr>
            <w:tcW w:type="dxa" w:w="3701"/>
            <w:vAlign w:val="center"/>
            <w:shd w:fill="F1F5F8"/>
            <w:tcMar>
              <w:top w:w="85" w:type="dxa"/>
              <w:left w:w="85" w:type="dxa"/>
              <w:bottom w:w="85" w:type="dxa"/>
              <w:right w:w="85" w:type="dxa"/>
            </w:tcMar>
          </w:tcPr>
          <w:p>
            <w:pPr>
              <w:spacing w:after="40" w:line="245" w:lineRule="auto"/>
            </w:pPr>
            <w:r>
              <w:rPr>
                <w:sz w:val="18"/>
              </w:rPr>
              <w:t>Understands what will ship and why it is ready.</w:t>
            </w:r>
          </w:p>
        </w:tc>
      </w:tr>
      <w:tr>
        <w:trPr>
          <w:cantSplit/>
        </w:trPr>
        <w:tc>
          <w:tcPr>
            <w:tcW w:type="dxa" w:w="1944"/>
            <w:vAlign w:val="center"/>
            <w:shd w:fill="FFFFFF"/>
            <w:tcMar>
              <w:top w:w="85" w:type="dxa"/>
              <w:left w:w="85" w:type="dxa"/>
              <w:bottom w:w="85" w:type="dxa"/>
              <w:right w:w="85" w:type="dxa"/>
            </w:tcMar>
          </w:tcPr>
          <w:p>
            <w:pPr>
              <w:spacing w:after="40" w:line="245" w:lineRule="auto"/>
            </w:pPr>
            <w:r>
              <w:rPr>
                <w:sz w:val="18"/>
              </w:rPr>
              <w:t>Engineering Lead</w:t>
            </w:r>
          </w:p>
        </w:tc>
        <w:tc>
          <w:tcPr>
            <w:tcW w:type="dxa" w:w="4104"/>
            <w:vAlign w:val="center"/>
            <w:shd w:fill="FFFFFF"/>
            <w:tcMar>
              <w:top w:w="85" w:type="dxa"/>
              <w:left w:w="85" w:type="dxa"/>
              <w:bottom w:w="85" w:type="dxa"/>
              <w:right w:w="85" w:type="dxa"/>
            </w:tcMar>
          </w:tcPr>
          <w:p>
            <w:pPr>
              <w:spacing w:after="40" w:line="245" w:lineRule="auto"/>
            </w:pPr>
            <w:r>
              <w:rPr>
                <w:sz w:val="18"/>
              </w:rPr>
              <w:t>Configure repositories, review architecture and oversee implementation.</w:t>
            </w:r>
          </w:p>
        </w:tc>
        <w:tc>
          <w:tcPr>
            <w:tcW w:type="dxa" w:w="3701"/>
            <w:vAlign w:val="center"/>
            <w:shd w:fill="FFFFFF"/>
            <w:tcMar>
              <w:top w:w="85" w:type="dxa"/>
              <w:left w:w="85" w:type="dxa"/>
              <w:bottom w:w="85" w:type="dxa"/>
              <w:right w:w="85" w:type="dxa"/>
            </w:tcMar>
          </w:tcPr>
          <w:p>
            <w:pPr>
              <w:spacing w:after="40" w:line="245" w:lineRule="auto"/>
            </w:pPr>
            <w:r>
              <w:rPr>
                <w:sz w:val="18"/>
              </w:rPr>
              <w:t>No conflicting writers or unreviewed changes enter the protected branch.</w:t>
            </w:r>
          </w:p>
        </w:tc>
      </w:tr>
      <w:tr>
        <w:trPr>
          <w:cantSplit/>
        </w:trPr>
        <w:tc>
          <w:tcPr>
            <w:tcW w:type="dxa" w:w="1944"/>
            <w:vAlign w:val="center"/>
            <w:shd w:fill="F1F5F8"/>
            <w:tcMar>
              <w:top w:w="85" w:type="dxa"/>
              <w:left w:w="85" w:type="dxa"/>
              <w:bottom w:w="85" w:type="dxa"/>
              <w:right w:w="85" w:type="dxa"/>
            </w:tcMar>
          </w:tcPr>
          <w:p>
            <w:pPr>
              <w:spacing w:after="40" w:line="245" w:lineRule="auto"/>
            </w:pPr>
            <w:r>
              <w:rPr>
                <w:sz w:val="18"/>
              </w:rPr>
              <w:t>QA reviewer</w:t>
            </w:r>
          </w:p>
        </w:tc>
        <w:tc>
          <w:tcPr>
            <w:tcW w:type="dxa" w:w="4104"/>
            <w:vAlign w:val="center"/>
            <w:shd w:fill="F1F5F8"/>
            <w:tcMar>
              <w:top w:w="85" w:type="dxa"/>
              <w:left w:w="85" w:type="dxa"/>
              <w:bottom w:w="85" w:type="dxa"/>
              <w:right w:w="85" w:type="dxa"/>
            </w:tcMar>
          </w:tcPr>
          <w:p>
            <w:pPr>
              <w:spacing w:after="40" w:line="245" w:lineRule="auto"/>
            </w:pPr>
            <w:r>
              <w:rPr>
                <w:sz w:val="18"/>
              </w:rPr>
              <w:t>Inspect independent verification and reproduce failures.</w:t>
            </w:r>
          </w:p>
        </w:tc>
        <w:tc>
          <w:tcPr>
            <w:tcW w:type="dxa" w:w="3701"/>
            <w:vAlign w:val="center"/>
            <w:shd w:fill="F1F5F8"/>
            <w:tcMar>
              <w:top w:w="85" w:type="dxa"/>
              <w:left w:w="85" w:type="dxa"/>
              <w:bottom w:w="85" w:type="dxa"/>
              <w:right w:w="85" w:type="dxa"/>
            </w:tcMar>
          </w:tcPr>
          <w:p>
            <w:pPr>
              <w:spacing w:after="40" w:line="245" w:lineRule="auto"/>
            </w:pPr>
            <w:r>
              <w:rPr>
                <w:sz w:val="18"/>
              </w:rPr>
              <w:t>Every acceptance criterion has evidence and a clear result.</w:t>
            </w:r>
          </w:p>
        </w:tc>
      </w:tr>
      <w:tr>
        <w:trPr>
          <w:cantSplit/>
        </w:trPr>
        <w:tc>
          <w:tcPr>
            <w:tcW w:type="dxa" w:w="1944"/>
            <w:vAlign w:val="center"/>
            <w:shd w:fill="FFFFFF"/>
            <w:tcMar>
              <w:top w:w="85" w:type="dxa"/>
              <w:left w:w="85" w:type="dxa"/>
              <w:bottom w:w="85" w:type="dxa"/>
              <w:right w:w="85" w:type="dxa"/>
            </w:tcMar>
          </w:tcPr>
          <w:p>
            <w:pPr>
              <w:spacing w:after="40" w:line="245" w:lineRule="auto"/>
            </w:pPr>
            <w:r>
              <w:rPr>
                <w:sz w:val="18"/>
              </w:rPr>
              <w:t>Workspace Administrator</w:t>
            </w:r>
          </w:p>
        </w:tc>
        <w:tc>
          <w:tcPr>
            <w:tcW w:type="dxa" w:w="4104"/>
            <w:vAlign w:val="center"/>
            <w:shd w:fill="FFFFFF"/>
            <w:tcMar>
              <w:top w:w="85" w:type="dxa"/>
              <w:left w:w="85" w:type="dxa"/>
              <w:bottom w:w="85" w:type="dxa"/>
              <w:right w:w="85" w:type="dxa"/>
            </w:tcMar>
          </w:tcPr>
          <w:p>
            <w:pPr>
              <w:spacing w:after="40" w:line="245" w:lineRule="auto"/>
            </w:pPr>
            <w:r>
              <w:rPr>
                <w:sz w:val="18"/>
              </w:rPr>
              <w:t>Manage identity, integrations, policies and worker health.</w:t>
            </w:r>
          </w:p>
        </w:tc>
        <w:tc>
          <w:tcPr>
            <w:tcW w:type="dxa" w:w="3701"/>
            <w:vAlign w:val="center"/>
            <w:shd w:fill="FFFFFF"/>
            <w:tcMar>
              <w:top w:w="85" w:type="dxa"/>
              <w:left w:w="85" w:type="dxa"/>
              <w:bottom w:w="85" w:type="dxa"/>
              <w:right w:w="85" w:type="dxa"/>
            </w:tcMar>
          </w:tcPr>
          <w:p>
            <w:pPr>
              <w:spacing w:after="40" w:line="245" w:lineRule="auto"/>
            </w:pPr>
            <w:r>
              <w:rPr>
                <w:sz w:val="18"/>
              </w:rPr>
              <w:t>Permissions and recovery can be tested and audited.</w:t>
            </w:r>
          </w:p>
        </w:tc>
      </w:tr>
      <w:tr>
        <w:trPr>
          <w:cantSplit/>
        </w:trPr>
        <w:tc>
          <w:tcPr>
            <w:tcW w:type="dxa" w:w="1944"/>
            <w:vAlign w:val="center"/>
            <w:shd w:fill="F1F5F8"/>
            <w:tcMar>
              <w:top w:w="85" w:type="dxa"/>
              <w:left w:w="85" w:type="dxa"/>
              <w:bottom w:w="85" w:type="dxa"/>
              <w:right w:w="85" w:type="dxa"/>
            </w:tcMar>
          </w:tcPr>
          <w:p>
            <w:pPr>
              <w:spacing w:after="40" w:line="245" w:lineRule="auto"/>
            </w:pPr>
            <w:r>
              <w:rPr>
                <w:sz w:val="18"/>
              </w:rPr>
              <w:t>Observer or stakeholder</w:t>
            </w:r>
          </w:p>
        </w:tc>
        <w:tc>
          <w:tcPr>
            <w:tcW w:type="dxa" w:w="4104"/>
            <w:vAlign w:val="center"/>
            <w:shd w:fill="F1F5F8"/>
            <w:tcMar>
              <w:top w:w="85" w:type="dxa"/>
              <w:left w:w="85" w:type="dxa"/>
              <w:bottom w:w="85" w:type="dxa"/>
              <w:right w:w="85" w:type="dxa"/>
            </w:tcMar>
          </w:tcPr>
          <w:p>
            <w:pPr>
              <w:spacing w:after="40" w:line="245" w:lineRule="auto"/>
            </w:pPr>
            <w:r>
              <w:rPr>
                <w:sz w:val="18"/>
              </w:rPr>
              <w:t>Track delivery without execution privileges.</w:t>
            </w:r>
          </w:p>
        </w:tc>
        <w:tc>
          <w:tcPr>
            <w:tcW w:type="dxa" w:w="3701"/>
            <w:vAlign w:val="center"/>
            <w:shd w:fill="F1F5F8"/>
            <w:tcMar>
              <w:top w:w="85" w:type="dxa"/>
              <w:left w:w="85" w:type="dxa"/>
              <w:bottom w:w="85" w:type="dxa"/>
              <w:right w:w="85" w:type="dxa"/>
            </w:tcMar>
          </w:tcPr>
          <w:p>
            <w:pPr>
              <w:spacing w:after="40" w:line="245" w:lineRule="auto"/>
            </w:pPr>
            <w:r>
              <w:rPr>
                <w:sz w:val="18"/>
              </w:rPr>
              <w:t>Sees progress, blockers and approved outcomes.</w:t>
            </w:r>
          </w:p>
        </w:tc>
      </w:tr>
    </w:tbl>
    <w:p>
      <w:pPr>
        <w:spacing w:after="0"/>
      </w:pPr>
    </w:p>
    <w:p>
      <w:pPr>
        <w:pStyle w:val="Heading2"/>
      </w:pPr>
      <w:r>
        <w:t>Product principles</w:t>
      </w:r>
    </w:p>
    <w:p>
      <w:r>
        <w:t>The backend is the only authority for task state. Prompts are guidance, not security controls. Every code-writing job has an isolated workspace and a bounded scope. QA evaluates the approved criteria independently of the developer’s private reasoning. Agents may propose decisions but cannot grant approvals or expand their own privileges.</w:t>
      </w:r>
    </w:p>
    <w:p>
      <w:pPr>
        <w:pStyle w:val="Heading2"/>
      </w:pPr>
      <w:r>
        <w:t>Initial operating boundary</w:t>
      </w:r>
    </w:p>
    <w:p>
      <w:r>
        <w:t>The MVP serves one internal organization with multiple projects and one GitHub repository per project. Initial deployment uses a controlled server and isolated workers, plus an authenticated local worker bridge for Ollama. The pilot uses synthetic or sanitized development data. No production customer data or production credentials are provided to agents.</w:t>
      </w:r>
    </w:p>
    <w:p>
      <w:r>
        <w:t>Existing repositories are supported after explicit trust review and baseline test setup. The product is not a replacement for engineering accountability, source control, CI, or the organization’s release management process.</w:t>
      </w:r>
    </w:p>
    <w:p>
      <w:r>
        <w:br w:type="page"/>
      </w:r>
    </w:p>
    <w:p>
      <w:pPr>
        <w:pStyle w:val="Heading1"/>
      </w:pPr>
      <w:r>
        <w:t>2 Scope and product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608"/>
        <w:gridCol w:w="4133"/>
      </w:tblGrid>
      <w:tr>
        <w:trPr>
          <w:cantSplit/>
          <w:tblHeader/>
        </w:trPr>
        <w:tc>
          <w:tcPr>
            <w:tcW w:type="dxa" w:w="1008"/>
            <w:vAlign w:val="center"/>
            <w:shd w:fill="183B56"/>
            <w:tcMar>
              <w:top w:w="85" w:type="dxa"/>
              <w:left w:w="85" w:type="dxa"/>
              <w:bottom w:w="85" w:type="dxa"/>
              <w:right w:w="85" w:type="dxa"/>
            </w:tcMar>
          </w:tcPr>
          <w:p>
            <w:pPr>
              <w:spacing w:after="40" w:line="245" w:lineRule="auto"/>
            </w:pPr>
            <w:r>
              <w:rPr>
                <w:b/>
                <w:color w:val="FFFFFF"/>
                <w:sz w:val="18"/>
              </w:rPr>
              <w:t>ID</w:t>
            </w:r>
          </w:p>
        </w:tc>
        <w:tc>
          <w:tcPr>
            <w:tcW w:type="dxa" w:w="4608"/>
            <w:vAlign w:val="center"/>
            <w:shd w:fill="183B56"/>
            <w:tcMar>
              <w:top w:w="85" w:type="dxa"/>
              <w:left w:w="85" w:type="dxa"/>
              <w:bottom w:w="85" w:type="dxa"/>
              <w:right w:w="85" w:type="dxa"/>
            </w:tcMar>
          </w:tcPr>
          <w:p>
            <w:pPr>
              <w:spacing w:after="40" w:line="245" w:lineRule="auto"/>
            </w:pPr>
            <w:r>
              <w:rPr>
                <w:b/>
                <w:color w:val="FFFFFF"/>
                <w:sz w:val="18"/>
              </w:rPr>
              <w:t>MVP requirement</w:t>
            </w:r>
          </w:p>
        </w:tc>
        <w:tc>
          <w:tcPr>
            <w:tcW w:type="dxa" w:w="4133"/>
            <w:vAlign w:val="center"/>
            <w:shd w:fill="183B56"/>
            <w:tcMar>
              <w:top w:w="85" w:type="dxa"/>
              <w:left w:w="85" w:type="dxa"/>
              <w:bottom w:w="85" w:type="dxa"/>
              <w:right w:w="85" w:type="dxa"/>
            </w:tcMar>
          </w:tcPr>
          <w:p>
            <w:pPr>
              <w:spacing w:after="40" w:line="245" w:lineRule="auto"/>
            </w:pPr>
            <w:r>
              <w:rPr>
                <w:b/>
                <w:color w:val="FFFFFF"/>
                <w:sz w:val="18"/>
              </w:rPr>
              <w:t>Delivery evidence</w:t>
            </w:r>
          </w:p>
        </w:tc>
      </w:tr>
      <w:tr>
        <w:trPr>
          <w:cantSplit/>
        </w:trPr>
        <w:tc>
          <w:tcPr>
            <w:tcW w:type="dxa" w:w="1008"/>
            <w:vAlign w:val="center"/>
            <w:shd w:fill="F1F5F8"/>
            <w:tcMar>
              <w:top w:w="85" w:type="dxa"/>
              <w:left w:w="85" w:type="dxa"/>
              <w:bottom w:w="85" w:type="dxa"/>
              <w:right w:w="85" w:type="dxa"/>
            </w:tcMar>
          </w:tcPr>
          <w:p>
            <w:pPr>
              <w:spacing w:after="40" w:line="245" w:lineRule="auto"/>
            </w:pPr>
            <w:r>
              <w:rPr>
                <w:sz w:val="18"/>
              </w:rPr>
              <w:t>PRD-01</w:t>
            </w:r>
          </w:p>
        </w:tc>
        <w:tc>
          <w:tcPr>
            <w:tcW w:type="dxa" w:w="4608"/>
            <w:vAlign w:val="center"/>
            <w:shd w:fill="F1F5F8"/>
            <w:tcMar>
              <w:top w:w="85" w:type="dxa"/>
              <w:left w:w="85" w:type="dxa"/>
              <w:bottom w:w="85" w:type="dxa"/>
              <w:right w:w="85" w:type="dxa"/>
            </w:tcMar>
          </w:tcPr>
          <w:p>
            <w:pPr>
              <w:spacing w:after="40" w:line="245" w:lineRule="auto"/>
            </w:pPr>
            <w:r>
              <w:rPr>
                <w:sz w:val="18"/>
              </w:rPr>
              <w:t>Create projects and validate repository, branch rules, commands and credentials.</w:t>
            </w:r>
          </w:p>
        </w:tc>
        <w:tc>
          <w:tcPr>
            <w:tcW w:type="dxa" w:w="4133"/>
            <w:vAlign w:val="center"/>
            <w:shd w:fill="F1F5F8"/>
            <w:tcMar>
              <w:top w:w="85" w:type="dxa"/>
              <w:left w:w="85" w:type="dxa"/>
              <w:bottom w:w="85" w:type="dxa"/>
              <w:right w:w="85" w:type="dxa"/>
            </w:tcMar>
          </w:tcPr>
          <w:p>
            <w:pPr>
              <w:spacing w:after="40" w:line="245" w:lineRule="auto"/>
            </w:pPr>
            <w:r>
              <w:rPr>
                <w:sz w:val="18"/>
              </w:rPr>
              <w:t>A misconfigured project cannot start execution.</w:t>
            </w:r>
          </w:p>
        </w:tc>
      </w:tr>
      <w:tr>
        <w:trPr>
          <w:cantSplit/>
        </w:trPr>
        <w:tc>
          <w:tcPr>
            <w:tcW w:type="dxa" w:w="1008"/>
            <w:vAlign w:val="center"/>
            <w:shd w:fill="FFFFFF"/>
            <w:tcMar>
              <w:top w:w="85" w:type="dxa"/>
              <w:left w:w="85" w:type="dxa"/>
              <w:bottom w:w="85" w:type="dxa"/>
              <w:right w:w="85" w:type="dxa"/>
            </w:tcMar>
          </w:tcPr>
          <w:p>
            <w:pPr>
              <w:spacing w:after="40" w:line="245" w:lineRule="auto"/>
            </w:pPr>
            <w:r>
              <w:rPr>
                <w:sz w:val="18"/>
              </w:rPr>
              <w:t>PRD-02</w:t>
            </w:r>
          </w:p>
        </w:tc>
        <w:tc>
          <w:tcPr>
            <w:tcW w:type="dxa" w:w="4608"/>
            <w:vAlign w:val="center"/>
            <w:shd w:fill="FFFFFF"/>
            <w:tcMar>
              <w:top w:w="85" w:type="dxa"/>
              <w:left w:w="85" w:type="dxa"/>
              <w:bottom w:w="85" w:type="dxa"/>
              <w:right w:w="85" w:type="dxa"/>
            </w:tcMar>
          </w:tcPr>
          <w:p>
            <w:pPr>
              <w:spacing w:after="40" w:line="245" w:lineRule="auto"/>
            </w:pPr>
            <w:r>
              <w:rPr>
                <w:sz w:val="18"/>
              </w:rPr>
              <w:t>Generate versioned stories, rules, UX flows, questions and acceptance criteria.</w:t>
            </w:r>
          </w:p>
        </w:tc>
        <w:tc>
          <w:tcPr>
            <w:tcW w:type="dxa" w:w="4133"/>
            <w:vAlign w:val="center"/>
            <w:shd w:fill="FFFFFF"/>
            <w:tcMar>
              <w:top w:w="85" w:type="dxa"/>
              <w:left w:w="85" w:type="dxa"/>
              <w:bottom w:w="85" w:type="dxa"/>
              <w:right w:w="85" w:type="dxa"/>
            </w:tcMar>
          </w:tcPr>
          <w:p>
            <w:pPr>
              <w:spacing w:after="40" w:line="245" w:lineRule="auto"/>
            </w:pPr>
            <w:r>
              <w:rPr>
                <w:sz w:val="18"/>
              </w:rPr>
              <w:t>Approved specification is immutable and traceable.</w:t>
            </w:r>
          </w:p>
        </w:tc>
      </w:tr>
      <w:tr>
        <w:trPr>
          <w:cantSplit/>
        </w:trPr>
        <w:tc>
          <w:tcPr>
            <w:tcW w:type="dxa" w:w="1008"/>
            <w:vAlign w:val="center"/>
            <w:shd w:fill="F1F5F8"/>
            <w:tcMar>
              <w:top w:w="85" w:type="dxa"/>
              <w:left w:w="85" w:type="dxa"/>
              <w:bottom w:w="85" w:type="dxa"/>
              <w:right w:w="85" w:type="dxa"/>
            </w:tcMar>
          </w:tcPr>
          <w:p>
            <w:pPr>
              <w:spacing w:after="40" w:line="245" w:lineRule="auto"/>
            </w:pPr>
            <w:r>
              <w:rPr>
                <w:sz w:val="18"/>
              </w:rPr>
              <w:t>PRD-03</w:t>
            </w:r>
          </w:p>
        </w:tc>
        <w:tc>
          <w:tcPr>
            <w:tcW w:type="dxa" w:w="4608"/>
            <w:vAlign w:val="center"/>
            <w:shd w:fill="F1F5F8"/>
            <w:tcMar>
              <w:top w:w="85" w:type="dxa"/>
              <w:left w:w="85" w:type="dxa"/>
              <w:bottom w:w="85" w:type="dxa"/>
              <w:right w:w="85" w:type="dxa"/>
            </w:tcMar>
          </w:tcPr>
          <w:p>
            <w:pPr>
              <w:spacing w:after="40" w:line="245" w:lineRule="auto"/>
            </w:pPr>
            <w:r>
              <w:rPr>
                <w:sz w:val="18"/>
              </w:rPr>
              <w:t>Run the BA, developer, independent QA and supervised Ollama roles.</w:t>
            </w:r>
          </w:p>
        </w:tc>
        <w:tc>
          <w:tcPr>
            <w:tcW w:type="dxa" w:w="4133"/>
            <w:vAlign w:val="center"/>
            <w:shd w:fill="F1F5F8"/>
            <w:tcMar>
              <w:top w:w="85" w:type="dxa"/>
              <w:left w:w="85" w:type="dxa"/>
              <w:bottom w:w="85" w:type="dxa"/>
              <w:right w:w="85" w:type="dxa"/>
            </w:tcMar>
          </w:tcPr>
          <w:p>
            <w:pPr>
              <w:spacing w:after="40" w:line="245" w:lineRule="auto"/>
            </w:pPr>
            <w:r>
              <w:rPr>
                <w:sz w:val="18"/>
              </w:rPr>
              <w:t>Each role passes an adapter and permission contract test.</w:t>
            </w:r>
          </w:p>
        </w:tc>
      </w:tr>
      <w:tr>
        <w:trPr>
          <w:cantSplit/>
        </w:trPr>
        <w:tc>
          <w:tcPr>
            <w:tcW w:type="dxa" w:w="1008"/>
            <w:vAlign w:val="center"/>
            <w:shd w:fill="FFFFFF"/>
            <w:tcMar>
              <w:top w:w="85" w:type="dxa"/>
              <w:left w:w="85" w:type="dxa"/>
              <w:bottom w:w="85" w:type="dxa"/>
              <w:right w:w="85" w:type="dxa"/>
            </w:tcMar>
          </w:tcPr>
          <w:p>
            <w:pPr>
              <w:spacing w:after="40" w:line="245" w:lineRule="auto"/>
            </w:pPr>
            <w:r>
              <w:rPr>
                <w:sz w:val="18"/>
              </w:rPr>
              <w:t>PRD-04</w:t>
            </w:r>
          </w:p>
        </w:tc>
        <w:tc>
          <w:tcPr>
            <w:tcW w:type="dxa" w:w="4608"/>
            <w:vAlign w:val="center"/>
            <w:shd w:fill="FFFFFF"/>
            <w:tcMar>
              <w:top w:w="85" w:type="dxa"/>
              <w:left w:w="85" w:type="dxa"/>
              <w:bottom w:w="85" w:type="dxa"/>
              <w:right w:w="85" w:type="dxa"/>
            </w:tcMar>
          </w:tcPr>
          <w:p>
            <w:pPr>
              <w:spacing w:after="40" w:line="245" w:lineRule="auto"/>
            </w:pPr>
            <w:r>
              <w:rPr>
                <w:sz w:val="18"/>
              </w:rPr>
              <w:t>Enforce requirements and merge gates plus a separate production approval record.</w:t>
            </w:r>
          </w:p>
        </w:tc>
        <w:tc>
          <w:tcPr>
            <w:tcW w:type="dxa" w:w="4133"/>
            <w:vAlign w:val="center"/>
            <w:shd w:fill="FFFFFF"/>
            <w:tcMar>
              <w:top w:w="85" w:type="dxa"/>
              <w:left w:w="85" w:type="dxa"/>
              <w:bottom w:w="85" w:type="dxa"/>
              <w:right w:w="85" w:type="dxa"/>
            </w:tcMar>
          </w:tcPr>
          <w:p>
            <w:pPr>
              <w:spacing w:after="40" w:line="245" w:lineRule="auto"/>
            </w:pPr>
            <w:r>
              <w:rPr>
                <w:sz w:val="18"/>
              </w:rPr>
              <w:t>No agent can approve; stale approvals are rejected.</w:t>
            </w:r>
          </w:p>
        </w:tc>
      </w:tr>
      <w:tr>
        <w:trPr>
          <w:cantSplit/>
        </w:trPr>
        <w:tc>
          <w:tcPr>
            <w:tcW w:type="dxa" w:w="1008"/>
            <w:vAlign w:val="center"/>
            <w:shd w:fill="F1F5F8"/>
            <w:tcMar>
              <w:top w:w="85" w:type="dxa"/>
              <w:left w:w="85" w:type="dxa"/>
              <w:bottom w:w="85" w:type="dxa"/>
              <w:right w:w="85" w:type="dxa"/>
            </w:tcMar>
          </w:tcPr>
          <w:p>
            <w:pPr>
              <w:spacing w:after="40" w:line="245" w:lineRule="auto"/>
            </w:pPr>
            <w:r>
              <w:rPr>
                <w:sz w:val="18"/>
              </w:rPr>
              <w:t>PRD-05</w:t>
            </w:r>
          </w:p>
        </w:tc>
        <w:tc>
          <w:tcPr>
            <w:tcW w:type="dxa" w:w="4608"/>
            <w:vAlign w:val="center"/>
            <w:shd w:fill="F1F5F8"/>
            <w:tcMar>
              <w:top w:w="85" w:type="dxa"/>
              <w:left w:w="85" w:type="dxa"/>
              <w:bottom w:w="85" w:type="dxa"/>
              <w:right w:w="85" w:type="dxa"/>
            </w:tcMar>
          </w:tcPr>
          <w:p>
            <w:pPr>
              <w:spacing w:after="40" w:line="245" w:lineRule="auto"/>
            </w:pPr>
            <w:r>
              <w:rPr>
                <w:sz w:val="18"/>
              </w:rPr>
              <w:t>Manage isolated branches, pull requests and protected merges.</w:t>
            </w:r>
          </w:p>
        </w:tc>
        <w:tc>
          <w:tcPr>
            <w:tcW w:type="dxa" w:w="4133"/>
            <w:vAlign w:val="center"/>
            <w:shd w:fill="F1F5F8"/>
            <w:tcMar>
              <w:top w:w="85" w:type="dxa"/>
              <w:left w:w="85" w:type="dxa"/>
              <w:bottom w:w="85" w:type="dxa"/>
              <w:right w:w="85" w:type="dxa"/>
            </w:tcMar>
          </w:tcPr>
          <w:p>
            <w:pPr>
              <w:spacing w:after="40" w:line="245" w:lineRule="auto"/>
            </w:pPr>
            <w:r>
              <w:rPr>
                <w:sz w:val="18"/>
              </w:rPr>
              <w:t>Merged SHA matches current approval and verification.</w:t>
            </w:r>
          </w:p>
        </w:tc>
      </w:tr>
      <w:tr>
        <w:trPr>
          <w:cantSplit/>
        </w:trPr>
        <w:tc>
          <w:tcPr>
            <w:tcW w:type="dxa" w:w="1008"/>
            <w:vAlign w:val="center"/>
            <w:shd w:fill="FFFFFF"/>
            <w:tcMar>
              <w:top w:w="85" w:type="dxa"/>
              <w:left w:w="85" w:type="dxa"/>
              <w:bottom w:w="85" w:type="dxa"/>
              <w:right w:w="85" w:type="dxa"/>
            </w:tcMar>
          </w:tcPr>
          <w:p>
            <w:pPr>
              <w:spacing w:after="40" w:line="245" w:lineRule="auto"/>
            </w:pPr>
            <w:r>
              <w:rPr>
                <w:sz w:val="18"/>
              </w:rPr>
              <w:t>PRD-06</w:t>
            </w:r>
          </w:p>
        </w:tc>
        <w:tc>
          <w:tcPr>
            <w:tcW w:type="dxa" w:w="4608"/>
            <w:vAlign w:val="center"/>
            <w:shd w:fill="FFFFFF"/>
            <w:tcMar>
              <w:top w:w="85" w:type="dxa"/>
              <w:left w:w="85" w:type="dxa"/>
              <w:bottom w:w="85" w:type="dxa"/>
              <w:right w:w="85" w:type="dxa"/>
            </w:tcMar>
          </w:tcPr>
          <w:p>
            <w:pPr>
              <w:spacing w:after="40" w:line="245" w:lineRule="auto"/>
            </w:pPr>
            <w:r>
              <w:rPr>
                <w:sz w:val="18"/>
              </w:rPr>
              <w:t>Orchestrate QA, linked defects, fixes and retests.</w:t>
            </w:r>
          </w:p>
        </w:tc>
        <w:tc>
          <w:tcPr>
            <w:tcW w:type="dxa" w:w="4133"/>
            <w:vAlign w:val="center"/>
            <w:shd w:fill="FFFFFF"/>
            <w:tcMar>
              <w:top w:w="85" w:type="dxa"/>
              <w:left w:w="85" w:type="dxa"/>
              <w:bottom w:w="85" w:type="dxa"/>
              <w:right w:w="85" w:type="dxa"/>
            </w:tcMar>
          </w:tcPr>
          <w:p>
            <w:pPr>
              <w:spacing w:after="40" w:line="245" w:lineRule="auto"/>
            </w:pPr>
            <w:r>
              <w:rPr>
                <w:sz w:val="18"/>
              </w:rPr>
              <w:t>Failed, blocked or missing evidence prevents readiness.</w:t>
            </w:r>
          </w:p>
        </w:tc>
      </w:tr>
      <w:tr>
        <w:trPr>
          <w:cantSplit/>
        </w:trPr>
        <w:tc>
          <w:tcPr>
            <w:tcW w:type="dxa" w:w="1008"/>
            <w:vAlign w:val="center"/>
            <w:shd w:fill="F1F5F8"/>
            <w:tcMar>
              <w:top w:w="85" w:type="dxa"/>
              <w:left w:w="85" w:type="dxa"/>
              <w:bottom w:w="85" w:type="dxa"/>
              <w:right w:w="85" w:type="dxa"/>
            </w:tcMar>
          </w:tcPr>
          <w:p>
            <w:pPr>
              <w:spacing w:after="40" w:line="245" w:lineRule="auto"/>
            </w:pPr>
            <w:r>
              <w:rPr>
                <w:sz w:val="18"/>
              </w:rPr>
              <w:t>PRD-07</w:t>
            </w:r>
          </w:p>
        </w:tc>
        <w:tc>
          <w:tcPr>
            <w:tcW w:type="dxa" w:w="4608"/>
            <w:vAlign w:val="center"/>
            <w:shd w:fill="F1F5F8"/>
            <w:tcMar>
              <w:top w:w="85" w:type="dxa"/>
              <w:left w:w="85" w:type="dxa"/>
              <w:bottom w:w="85" w:type="dxa"/>
              <w:right w:w="85" w:type="dxa"/>
            </w:tcMar>
          </w:tcPr>
          <w:p>
            <w:pPr>
              <w:spacing w:after="40" w:line="245" w:lineRule="auto"/>
            </w:pPr>
            <w:r>
              <w:rPr>
                <w:sz w:val="18"/>
              </w:rPr>
              <w:t>Provide dashboard, Kanban, ticket, runs, agents and costs screens.</w:t>
            </w:r>
          </w:p>
        </w:tc>
        <w:tc>
          <w:tcPr>
            <w:tcW w:type="dxa" w:w="4133"/>
            <w:vAlign w:val="center"/>
            <w:shd w:fill="F1F5F8"/>
            <w:tcMar>
              <w:top w:w="85" w:type="dxa"/>
              <w:left w:w="85" w:type="dxa"/>
              <w:bottom w:w="85" w:type="dxa"/>
              <w:right w:w="85" w:type="dxa"/>
            </w:tcMar>
          </w:tcPr>
          <w:p>
            <w:pPr>
              <w:spacing w:after="40" w:line="245" w:lineRule="auto"/>
            </w:pPr>
            <w:r>
              <w:rPr>
                <w:sz w:val="18"/>
              </w:rPr>
              <w:t>Users can locate blockers and act without reading raw logs.</w:t>
            </w:r>
          </w:p>
        </w:tc>
      </w:tr>
      <w:tr>
        <w:trPr>
          <w:cantSplit/>
        </w:trPr>
        <w:tc>
          <w:tcPr>
            <w:tcW w:type="dxa" w:w="1008"/>
            <w:vAlign w:val="center"/>
            <w:shd w:fill="FFFFFF"/>
            <w:tcMar>
              <w:top w:w="85" w:type="dxa"/>
              <w:left w:w="85" w:type="dxa"/>
              <w:bottom w:w="85" w:type="dxa"/>
              <w:right w:w="85" w:type="dxa"/>
            </w:tcMar>
          </w:tcPr>
          <w:p>
            <w:pPr>
              <w:spacing w:after="40" w:line="245" w:lineRule="auto"/>
            </w:pPr>
            <w:r>
              <w:rPr>
                <w:sz w:val="18"/>
              </w:rPr>
              <w:t>PRD-08</w:t>
            </w:r>
          </w:p>
        </w:tc>
        <w:tc>
          <w:tcPr>
            <w:tcW w:type="dxa" w:w="4608"/>
            <w:vAlign w:val="center"/>
            <w:shd w:fill="FFFFFF"/>
            <w:tcMar>
              <w:top w:w="85" w:type="dxa"/>
              <w:left w:w="85" w:type="dxa"/>
              <w:bottom w:w="85" w:type="dxa"/>
              <w:right w:w="85" w:type="dxa"/>
            </w:tcMar>
          </w:tcPr>
          <w:p>
            <w:pPr>
              <w:spacing w:after="40" w:line="245" w:lineRule="auto"/>
            </w:pPr>
            <w:r>
              <w:rPr>
                <w:sz w:val="18"/>
              </w:rPr>
              <w:t>Enforce project access, agent scope and immutable audit history.</w:t>
            </w:r>
          </w:p>
        </w:tc>
        <w:tc>
          <w:tcPr>
            <w:tcW w:type="dxa" w:w="4133"/>
            <w:vAlign w:val="center"/>
            <w:shd w:fill="FFFFFF"/>
            <w:tcMar>
              <w:top w:w="85" w:type="dxa"/>
              <w:left w:w="85" w:type="dxa"/>
              <w:bottom w:w="85" w:type="dxa"/>
              <w:right w:w="85" w:type="dxa"/>
            </w:tcMar>
          </w:tcPr>
          <w:p>
            <w:pPr>
              <w:spacing w:after="40" w:line="245" w:lineRule="auto"/>
            </w:pPr>
            <w:r>
              <w:rPr>
                <w:sz w:val="18"/>
              </w:rPr>
              <w:t>Unauthorized operations fail with recorded reasons.</w:t>
            </w:r>
          </w:p>
        </w:tc>
      </w:tr>
      <w:tr>
        <w:trPr>
          <w:cantSplit/>
        </w:trPr>
        <w:tc>
          <w:tcPr>
            <w:tcW w:type="dxa" w:w="1008"/>
            <w:vAlign w:val="center"/>
            <w:shd w:fill="F1F5F8"/>
            <w:tcMar>
              <w:top w:w="85" w:type="dxa"/>
              <w:left w:w="85" w:type="dxa"/>
              <w:bottom w:w="85" w:type="dxa"/>
              <w:right w:w="85" w:type="dxa"/>
            </w:tcMar>
          </w:tcPr>
          <w:p>
            <w:pPr>
              <w:spacing w:after="40" w:line="245" w:lineRule="auto"/>
            </w:pPr>
            <w:r>
              <w:rPr>
                <w:sz w:val="18"/>
              </w:rPr>
              <w:t>PRD-09</w:t>
            </w:r>
          </w:p>
        </w:tc>
        <w:tc>
          <w:tcPr>
            <w:tcW w:type="dxa" w:w="4608"/>
            <w:vAlign w:val="center"/>
            <w:shd w:fill="F1F5F8"/>
            <w:tcMar>
              <w:top w:w="85" w:type="dxa"/>
              <w:left w:w="85" w:type="dxa"/>
              <w:bottom w:w="85" w:type="dxa"/>
              <w:right w:w="85" w:type="dxa"/>
            </w:tcMar>
          </w:tcPr>
          <w:p>
            <w:pPr>
              <w:spacing w:after="40" w:line="245" w:lineRule="auto"/>
            </w:pPr>
            <w:r>
              <w:rPr>
                <w:sz w:val="18"/>
              </w:rPr>
              <w:t>Measure usage, reserve budgets and recover bounded failures.</w:t>
            </w:r>
          </w:p>
        </w:tc>
        <w:tc>
          <w:tcPr>
            <w:tcW w:type="dxa" w:w="4133"/>
            <w:vAlign w:val="center"/>
            <w:shd w:fill="F1F5F8"/>
            <w:tcMar>
              <w:top w:w="85" w:type="dxa"/>
              <w:left w:w="85" w:type="dxa"/>
              <w:bottom w:w="85" w:type="dxa"/>
              <w:right w:w="85" w:type="dxa"/>
            </w:tcMar>
          </w:tcPr>
          <w:p>
            <w:pPr>
              <w:spacing w:after="40" w:line="245" w:lineRule="auto"/>
            </w:pPr>
            <w:r>
              <w:rPr>
                <w:sz w:val="18"/>
              </w:rPr>
              <w:t>Retries are visible; duplicate delivery does not duplicate effects.</w:t>
            </w:r>
          </w:p>
        </w:tc>
      </w:tr>
      <w:tr>
        <w:trPr>
          <w:cantSplit/>
        </w:trPr>
        <w:tc>
          <w:tcPr>
            <w:tcW w:type="dxa" w:w="1008"/>
            <w:vAlign w:val="center"/>
            <w:shd w:fill="FFFFFF"/>
            <w:tcMar>
              <w:top w:w="85" w:type="dxa"/>
              <w:left w:w="85" w:type="dxa"/>
              <w:bottom w:w="85" w:type="dxa"/>
              <w:right w:w="85" w:type="dxa"/>
            </w:tcMar>
          </w:tcPr>
          <w:p>
            <w:pPr>
              <w:spacing w:after="40" w:line="245" w:lineRule="auto"/>
            </w:pPr>
            <w:r>
              <w:rPr>
                <w:sz w:val="18"/>
              </w:rPr>
              <w:t>PRD-10</w:t>
            </w:r>
          </w:p>
        </w:tc>
        <w:tc>
          <w:tcPr>
            <w:tcW w:type="dxa" w:w="4608"/>
            <w:vAlign w:val="center"/>
            <w:shd w:fill="FFFFFF"/>
            <w:tcMar>
              <w:top w:w="85" w:type="dxa"/>
              <w:left w:w="85" w:type="dxa"/>
              <w:bottom w:w="85" w:type="dxa"/>
              <w:right w:w="85" w:type="dxa"/>
            </w:tcMar>
          </w:tcPr>
          <w:p>
            <w:pPr>
              <w:spacing w:after="40" w:line="245" w:lineRule="auto"/>
            </w:pPr>
            <w:r>
              <w:rPr>
                <w:sz w:val="18"/>
              </w:rPr>
              <w:t>Provide in-app notifications, operating controls and measurable service quality.</w:t>
            </w:r>
          </w:p>
        </w:tc>
        <w:tc>
          <w:tcPr>
            <w:tcW w:type="dxa" w:w="4133"/>
            <w:vAlign w:val="center"/>
            <w:shd w:fill="FFFFFF"/>
            <w:tcMar>
              <w:top w:w="85" w:type="dxa"/>
              <w:left w:w="85" w:type="dxa"/>
              <w:bottom w:w="85" w:type="dxa"/>
              <w:right w:w="85" w:type="dxa"/>
            </w:tcMar>
          </w:tcPr>
          <w:p>
            <w:pPr>
              <w:spacing w:after="40" w:line="245" w:lineRule="auto"/>
            </w:pPr>
            <w:r>
              <w:rPr>
                <w:sz w:val="18"/>
              </w:rPr>
              <w:t>Gate, failure and recovery events reach the right people.</w:t>
            </w:r>
          </w:p>
        </w:tc>
      </w:tr>
    </w:tbl>
    <w:p>
      <w:pPr>
        <w:spacing w:after="0"/>
      </w:pPr>
    </w:p>
    <w:p>
      <w:pPr>
        <w:pStyle w:val="Heading2"/>
      </w:pPr>
      <w:r>
        <w:t>Included in the first release</w:t>
      </w:r>
    </w:p>
    <w:p>
      <w:r>
        <w:t>Project setup, OIDC sign-in, project roles, GitHub App integration, a durable state machine, four role adapters, requirements review, development and UX artifacts, independent QA, bounded fix loops, human-controlled merge, manual release evidence, in-app notifications, cost estimates, audit export, cancellation, recovery and basic operational dashboards are mandatory.</w:t>
      </w:r>
    </w:p>
    <w:p>
      <w:pPr>
        <w:pStyle w:val="Heading2"/>
      </w:pPr>
      <w:r>
        <w:t>Explicit exclusions</w:t>
      </w:r>
    </w:p>
    <w:p>
      <w:r>
        <w:t>Automated production deployment, autonomous merges, unrestricted agent chat, multi-tenant commercial billing, arbitrary marketplace plugins, unrestricted MCP tools, multiple repositories per ticket, production database access and fine-tuning are outside the MVP. Native Antigravity automation is conditional on a verified supported interface; manual import/export of BA artifacts remains available. Email and chat delivery channels are later integrations.</w:t>
      </w:r>
    </w:p>
    <w:p>
      <w:r>
        <w:br w:type="page"/>
      </w:r>
    </w:p>
    <w:p>
      <w:pPr>
        <w:pStyle w:val="Heading1"/>
      </w:pPr>
      <w:r>
        <w:t>3 Delivery journey and approvals</w:t>
      </w:r>
    </w:p>
    <w:p>
      <w:pPr>
        <w:pStyle w:val="Heading2"/>
      </w:pPr>
      <w:r>
        <w:t>Canonical journey</w:t>
      </w:r>
    </w:p>
    <w:p>
      <w:r>
        <w:t>Create project → connect repository → configure agent roles and policies → create ticket → BA analysis → human requirements approval → development → developer self-check → independent QA → human merge approval → verified merge. When QA fails, linked defects return to Claude for correction and a new Codex run retests the new commit.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096"/>
        <w:gridCol w:w="5141"/>
      </w:tblGrid>
      <w:tr>
        <w:trPr>
          <w:cantSplit/>
          <w:tblHeader/>
        </w:trPr>
        <w:tc>
          <w:tcPr>
            <w:tcW w:type="dxa" w:w="1512"/>
            <w:vAlign w:val="center"/>
            <w:shd w:fill="183B56"/>
            <w:tcMar>
              <w:top w:w="85" w:type="dxa"/>
              <w:left w:w="85" w:type="dxa"/>
              <w:bottom w:w="85" w:type="dxa"/>
              <w:right w:w="85" w:type="dxa"/>
            </w:tcMar>
          </w:tcPr>
          <w:p>
            <w:pPr>
              <w:spacing w:after="40" w:line="245" w:lineRule="auto"/>
            </w:pPr>
            <w:r>
              <w:rPr>
                <w:b/>
                <w:color w:val="FFFFFF"/>
                <w:sz w:val="18"/>
              </w:rPr>
              <w:t>Gate</w:t>
            </w:r>
          </w:p>
        </w:tc>
        <w:tc>
          <w:tcPr>
            <w:tcW w:type="dxa" w:w="3096"/>
            <w:vAlign w:val="center"/>
            <w:shd w:fill="183B56"/>
            <w:tcMar>
              <w:top w:w="85" w:type="dxa"/>
              <w:left w:w="85" w:type="dxa"/>
              <w:bottom w:w="85" w:type="dxa"/>
              <w:right w:w="85" w:type="dxa"/>
            </w:tcMar>
          </w:tcPr>
          <w:p>
            <w:pPr>
              <w:spacing w:after="40" w:line="245" w:lineRule="auto"/>
            </w:pPr>
            <w:r>
              <w:rPr>
                <w:b/>
                <w:color w:val="FFFFFF"/>
                <w:sz w:val="18"/>
              </w:rPr>
              <w:t>Human decision</w:t>
            </w:r>
          </w:p>
        </w:tc>
        <w:tc>
          <w:tcPr>
            <w:tcW w:type="dxa" w:w="5141"/>
            <w:vAlign w:val="center"/>
            <w:shd w:fill="183B56"/>
            <w:tcMar>
              <w:top w:w="85" w:type="dxa"/>
              <w:left w:w="85" w:type="dxa"/>
              <w:bottom w:w="85" w:type="dxa"/>
              <w:right w:w="85" w:type="dxa"/>
            </w:tcMar>
          </w:tcPr>
          <w:p>
            <w:pPr>
              <w:spacing w:after="40" w:line="245" w:lineRule="auto"/>
            </w:pPr>
            <w:r>
              <w:rPr>
                <w:b/>
                <w:color w:val="FFFFFF"/>
                <w:sz w:val="18"/>
              </w:rPr>
              <w:t>Required evidence and invalidation</w:t>
            </w:r>
          </w:p>
        </w:tc>
      </w:tr>
      <w:tr>
        <w:trPr>
          <w:cantSplit/>
        </w:trPr>
        <w:tc>
          <w:tcPr>
            <w:tcW w:type="dxa" w:w="1512"/>
            <w:vAlign w:val="center"/>
            <w:shd w:fill="F1F5F8"/>
            <w:tcMar>
              <w:top w:w="85" w:type="dxa"/>
              <w:left w:w="85" w:type="dxa"/>
              <w:bottom w:w="85" w:type="dxa"/>
              <w:right w:w="85" w:type="dxa"/>
            </w:tcMar>
          </w:tcPr>
          <w:p>
            <w:pPr>
              <w:spacing w:after="40" w:line="245" w:lineRule="auto"/>
            </w:pPr>
            <w:r>
              <w:rPr>
                <w:sz w:val="18"/>
              </w:rPr>
              <w:t>Requirements</w:t>
            </w:r>
          </w:p>
        </w:tc>
        <w:tc>
          <w:tcPr>
            <w:tcW w:type="dxa" w:w="3096"/>
            <w:vAlign w:val="center"/>
            <w:shd w:fill="F1F5F8"/>
            <w:tcMar>
              <w:top w:w="85" w:type="dxa"/>
              <w:left w:w="85" w:type="dxa"/>
              <w:bottom w:w="85" w:type="dxa"/>
              <w:right w:w="85" w:type="dxa"/>
            </w:tcMar>
          </w:tcPr>
          <w:p>
            <w:pPr>
              <w:spacing w:after="40" w:line="245" w:lineRule="auto"/>
            </w:pPr>
            <w:r>
              <w:rPr>
                <w:sz w:val="18"/>
              </w:rPr>
              <w:t>Product Lead approves the scope.</w:t>
            </w:r>
          </w:p>
        </w:tc>
        <w:tc>
          <w:tcPr>
            <w:tcW w:type="dxa" w:w="5141"/>
            <w:vAlign w:val="center"/>
            <w:shd w:fill="F1F5F8"/>
            <w:tcMar>
              <w:top w:w="85" w:type="dxa"/>
              <w:left w:w="85" w:type="dxa"/>
              <w:bottom w:w="85" w:type="dxa"/>
              <w:right w:w="85" w:type="dxa"/>
            </w:tcMar>
          </w:tcPr>
          <w:p>
            <w:pPr>
              <w:spacing w:after="40" w:line="245" w:lineRule="auto"/>
            </w:pPr>
            <w:r>
              <w:rPr>
                <w:sz w:val="18"/>
              </w:rPr>
              <w:t>Stories, business rules, AC IDs, UX, dependencies and resolved blocking questions. Editing any requirement creates a new version and invalidates downstream readiness.</w:t>
            </w:r>
          </w:p>
        </w:tc>
      </w:tr>
      <w:tr>
        <w:trPr>
          <w:cantSplit/>
        </w:trPr>
        <w:tc>
          <w:tcPr>
            <w:tcW w:type="dxa" w:w="1512"/>
            <w:vAlign w:val="center"/>
            <w:shd w:fill="FFFFFF"/>
            <w:tcMar>
              <w:top w:w="85" w:type="dxa"/>
              <w:left w:w="85" w:type="dxa"/>
              <w:bottom w:w="85" w:type="dxa"/>
              <w:right w:w="85" w:type="dxa"/>
            </w:tcMar>
          </w:tcPr>
          <w:p>
            <w:pPr>
              <w:spacing w:after="40" w:line="245" w:lineRule="auto"/>
            </w:pPr>
            <w:r>
              <w:rPr>
                <w:sz w:val="18"/>
              </w:rPr>
              <w:t>Merge</w:t>
            </w:r>
          </w:p>
        </w:tc>
        <w:tc>
          <w:tcPr>
            <w:tcW w:type="dxa" w:w="3096"/>
            <w:vAlign w:val="center"/>
            <w:shd w:fill="FFFFFF"/>
            <w:tcMar>
              <w:top w:w="85" w:type="dxa"/>
              <w:left w:w="85" w:type="dxa"/>
              <w:bottom w:w="85" w:type="dxa"/>
              <w:right w:w="85" w:type="dxa"/>
            </w:tcMar>
          </w:tcPr>
          <w:p>
            <w:pPr>
              <w:spacing w:after="40" w:line="245" w:lineRule="auto"/>
            </w:pPr>
            <w:r>
              <w:rPr>
                <w:sz w:val="18"/>
              </w:rPr>
              <w:t>Engineering Lead or Product Lead with merge permission approves a specific result.</w:t>
            </w:r>
          </w:p>
        </w:tc>
        <w:tc>
          <w:tcPr>
            <w:tcW w:type="dxa" w:w="5141"/>
            <w:vAlign w:val="center"/>
            <w:shd w:fill="FFFFFF"/>
            <w:tcMar>
              <w:top w:w="85" w:type="dxa"/>
              <w:left w:w="85" w:type="dxa"/>
              <w:bottom w:w="85" w:type="dxa"/>
              <w:right w:w="85" w:type="dxa"/>
            </w:tcMar>
          </w:tcPr>
          <w:p>
            <w:pPr>
              <w:spacing w:after="40" w:line="245" w:lineRule="auto"/>
            </w:pPr>
            <w:r>
              <w:rPr>
                <w:sz w:val="18"/>
              </w:rPr>
              <w:t>Current spec, head/base SHAs, QA pass, required CI, diff and cost summary. Any relevant code, base or policy change invalidates the approval.</w:t>
            </w:r>
          </w:p>
        </w:tc>
      </w:tr>
      <w:tr>
        <w:trPr>
          <w:cantSplit/>
        </w:trPr>
        <w:tc>
          <w:tcPr>
            <w:tcW w:type="dxa" w:w="1512"/>
            <w:vAlign w:val="center"/>
            <w:shd w:fill="F1F5F8"/>
            <w:tcMar>
              <w:top w:w="85" w:type="dxa"/>
              <w:left w:w="85" w:type="dxa"/>
              <w:bottom w:w="85" w:type="dxa"/>
              <w:right w:w="85" w:type="dxa"/>
            </w:tcMar>
          </w:tcPr>
          <w:p>
            <w:pPr>
              <w:spacing w:after="40" w:line="245" w:lineRule="auto"/>
            </w:pPr>
            <w:r>
              <w:rPr>
                <w:sz w:val="18"/>
              </w:rPr>
              <w:t>Production</w:t>
            </w:r>
          </w:p>
        </w:tc>
        <w:tc>
          <w:tcPr>
            <w:tcW w:type="dxa" w:w="3096"/>
            <w:vAlign w:val="center"/>
            <w:shd w:fill="F1F5F8"/>
            <w:tcMar>
              <w:top w:w="85" w:type="dxa"/>
              <w:left w:w="85" w:type="dxa"/>
              <w:bottom w:w="85" w:type="dxa"/>
              <w:right w:w="85" w:type="dxa"/>
            </w:tcMar>
          </w:tcPr>
          <w:p>
            <w:pPr>
              <w:spacing w:after="40" w:line="245" w:lineRule="auto"/>
            </w:pPr>
            <w:r>
              <w:rPr>
                <w:sz w:val="18"/>
              </w:rPr>
              <w:t>Designated Release Approver approves an artifact for an environment.</w:t>
            </w:r>
          </w:p>
        </w:tc>
        <w:tc>
          <w:tcPr>
            <w:tcW w:type="dxa" w:w="5141"/>
            <w:vAlign w:val="center"/>
            <w:shd w:fill="F1F5F8"/>
            <w:tcMar>
              <w:top w:w="85" w:type="dxa"/>
              <w:left w:w="85" w:type="dxa"/>
              <w:bottom w:w="85" w:type="dxa"/>
              <w:right w:w="85" w:type="dxa"/>
            </w:tcMar>
          </w:tcPr>
          <w:p>
            <w:pPr>
              <w:spacing w:after="40" w:line="245" w:lineRule="auto"/>
            </w:pPr>
            <w:r>
              <w:rPr>
                <w:sz w:val="18"/>
              </w:rPr>
              <w:t>Merged commit, immutable build digest, staging evidence and rollback plan. New artifact or environment change requires a new decision.</w:t>
            </w:r>
          </w:p>
        </w:tc>
      </w:tr>
    </w:tbl>
    <w:p>
      <w:pPr>
        <w:spacing w:after="0"/>
      </w:pPr>
    </w:p>
    <w:p>
      <w:pPr>
        <w:pStyle w:val="Heading2"/>
      </w:pPr>
      <w:r>
        <w:t>Meaning of completion</w:t>
      </w:r>
    </w:p>
    <w:p>
      <w:r>
        <w:t>A ticket is DONE only when GitHub confirms the approved commit was merged and the evidence bundle is retained. DONE does not imply production deployment. Releases have a separate lifecycle and explicit approval; the MVP records approval and externally executed deployment evidence without supplying a production execution path.</w:t>
      </w:r>
    </w:p>
    <w:p>
      <w:pPr>
        <w:pStyle w:val="Heading2"/>
      </w:pPr>
      <w:r>
        <w:t>Example acceptance journey</w:t>
      </w:r>
    </w:p>
    <w:p>
      <w:r>
        <w:t>For an expatriate authentication request, the BA lists eligibility rules and unresolved identity-provider questions. The human resolves those questions before approval. Claude implements on an isolated feature branch. Codex identifies a failed expired-identity criterion and records reproduction evidence. Claude fixes the defect, all mandatory criteria and regression checks pass on the new SHA, and an authorized human approves that exact revision for merge.</w:t>
      </w:r>
    </w:p>
    <w:p>
      <w:pPr>
        <w:pStyle w:val="Heading2"/>
      </w:pPr>
      <w:r>
        <w:t>Exceptions and escalation</w:t>
      </w:r>
    </w:p>
    <w:p>
      <w:r>
        <w:t>Three unsuccessful QA repair cycles pause the ticket for human intervention. A budget limit, denied permission, missing dependency, offline worker or unresolved ambiguity prevents new work and presents a specific recovery action. Cancellation stops new operations, preserves evidence and does not delete source branches or undo an already confirmed merge. Requirements changes during execution cancel obsolete work and require fresh approval.</w:t>
      </w:r>
    </w:p>
    <w:p>
      <w:r>
        <w:br w:type="page"/>
      </w:r>
    </w:p>
    <w:p>
      <w:pPr>
        <w:pStyle w:val="Heading1"/>
      </w:pPr>
      <w:r>
        <w:t>4 Experience and operating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661"/>
      </w:tblGrid>
      <w:tr>
        <w:trPr>
          <w:cantSplit/>
          <w:tblHeader/>
        </w:trPr>
        <w:tc>
          <w:tcPr>
            <w:tcW w:type="dxa" w:w="2088"/>
            <w:vAlign w:val="center"/>
            <w:shd w:fill="183B56"/>
            <w:tcMar>
              <w:top w:w="85" w:type="dxa"/>
              <w:left w:w="85" w:type="dxa"/>
              <w:bottom w:w="85" w:type="dxa"/>
              <w:right w:w="85" w:type="dxa"/>
            </w:tcMar>
          </w:tcPr>
          <w:p>
            <w:pPr>
              <w:spacing w:after="40" w:line="245" w:lineRule="auto"/>
            </w:pPr>
            <w:r>
              <w:rPr>
                <w:b/>
                <w:color w:val="FFFFFF"/>
                <w:sz w:val="18"/>
              </w:rPr>
              <w:t>Surface</w:t>
            </w:r>
          </w:p>
        </w:tc>
        <w:tc>
          <w:tcPr>
            <w:tcW w:type="dxa" w:w="7661"/>
            <w:vAlign w:val="center"/>
            <w:shd w:fill="183B56"/>
            <w:tcMar>
              <w:top w:w="85" w:type="dxa"/>
              <w:left w:w="85" w:type="dxa"/>
              <w:bottom w:w="85" w:type="dxa"/>
              <w:right w:w="85" w:type="dxa"/>
            </w:tcMar>
          </w:tcPr>
          <w:p>
            <w:pPr>
              <w:spacing w:after="40" w:line="245" w:lineRule="auto"/>
            </w:pPr>
            <w:r>
              <w:rPr>
                <w:b/>
                <w:color w:val="FFFFFF"/>
                <w:sz w:val="18"/>
              </w:rPr>
              <w:t>Primary content and action</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Dashboard</w:t>
            </w:r>
          </w:p>
        </w:tc>
        <w:tc>
          <w:tcPr>
            <w:tcW w:type="dxa" w:w="7661"/>
            <w:vAlign w:val="center"/>
            <w:shd w:fill="F1F5F8"/>
            <w:tcMar>
              <w:top w:w="85" w:type="dxa"/>
              <w:left w:w="85" w:type="dxa"/>
              <w:bottom w:w="85" w:type="dxa"/>
              <w:right w:w="85" w:type="dxa"/>
            </w:tcMar>
          </w:tcPr>
          <w:p>
            <w:pPr>
              <w:spacing w:after="40" w:line="245" w:lineRule="auto"/>
            </w:pPr>
            <w:r>
              <w:rPr>
                <w:sz w:val="18"/>
              </w:rPr>
              <w:t>Projects, work by stage, waiting approvals, blocked tickets, recent failures, worker health and spend against budget; drill through to filtered work.</w:t>
            </w:r>
          </w:p>
        </w:tc>
      </w:tr>
      <w:tr>
        <w:trPr>
          <w:cantSplit/>
        </w:trPr>
        <w:tc>
          <w:tcPr>
            <w:tcW w:type="dxa" w:w="2088"/>
            <w:vAlign w:val="center"/>
            <w:shd w:fill="FFFFFF"/>
            <w:tcMar>
              <w:top w:w="85" w:type="dxa"/>
              <w:left w:w="85" w:type="dxa"/>
              <w:bottom w:w="85" w:type="dxa"/>
              <w:right w:w="85" w:type="dxa"/>
            </w:tcMar>
          </w:tcPr>
          <w:p>
            <w:pPr>
              <w:spacing w:after="40" w:line="245" w:lineRule="auto"/>
            </w:pPr>
            <w:r>
              <w:rPr>
                <w:sz w:val="18"/>
              </w:rPr>
              <w:t>Kanban and backlog</w:t>
            </w:r>
          </w:p>
        </w:tc>
        <w:tc>
          <w:tcPr>
            <w:tcW w:type="dxa" w:w="7661"/>
            <w:vAlign w:val="center"/>
            <w:shd w:fill="FFFFFF"/>
            <w:tcMar>
              <w:top w:w="85" w:type="dxa"/>
              <w:left w:w="85" w:type="dxa"/>
              <w:bottom w:w="85" w:type="dxa"/>
              <w:right w:w="85" w:type="dxa"/>
            </w:tcMar>
          </w:tcPr>
          <w:p>
            <w:pPr>
              <w:spacing w:after="40" w:line="245" w:lineRule="auto"/>
            </w:pPr>
            <w:r>
              <w:rPr>
                <w:sz w:val="18"/>
              </w:rPr>
              <w:t>Priority, role, age, blocker and latest verified milestone. Accessible movement invokes permitted commands; moving a card cannot bypass a gate.</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Ticket</w:t>
            </w:r>
          </w:p>
        </w:tc>
        <w:tc>
          <w:tcPr>
            <w:tcW w:type="dxa" w:w="7661"/>
            <w:vAlign w:val="center"/>
            <w:shd w:fill="F1F5F8"/>
            <w:tcMar>
              <w:top w:w="85" w:type="dxa"/>
              <w:left w:w="85" w:type="dxa"/>
              <w:bottom w:w="85" w:type="dxa"/>
              <w:right w:w="85" w:type="dxa"/>
            </w:tcMar>
          </w:tcPr>
          <w:p>
            <w:pPr>
              <w:spacing w:after="40" w:line="245" w:lineRule="auto"/>
            </w:pPr>
            <w:r>
              <w:rPr>
                <w:sz w:val="18"/>
              </w:rPr>
              <w:t>Overview, requirements, UX, code, QA, runs, costs and audit timeline; versions, diff links and approval controls remain visible.</w:t>
            </w:r>
          </w:p>
        </w:tc>
      </w:tr>
      <w:tr>
        <w:trPr>
          <w:cantSplit/>
        </w:trPr>
        <w:tc>
          <w:tcPr>
            <w:tcW w:type="dxa" w:w="2088"/>
            <w:vAlign w:val="center"/>
            <w:shd w:fill="FFFFFF"/>
            <w:tcMar>
              <w:top w:w="85" w:type="dxa"/>
              <w:left w:w="85" w:type="dxa"/>
              <w:bottom w:w="85" w:type="dxa"/>
              <w:right w:w="85" w:type="dxa"/>
            </w:tcMar>
          </w:tcPr>
          <w:p>
            <w:pPr>
              <w:spacing w:after="40" w:line="245" w:lineRule="auto"/>
            </w:pPr>
            <w:r>
              <w:rPr>
                <w:sz w:val="18"/>
              </w:rPr>
              <w:t>Project setup</w:t>
            </w:r>
          </w:p>
        </w:tc>
        <w:tc>
          <w:tcPr>
            <w:tcW w:type="dxa" w:w="7661"/>
            <w:vAlign w:val="center"/>
            <w:shd w:fill="FFFFFF"/>
            <w:tcMar>
              <w:top w:w="85" w:type="dxa"/>
              <w:left w:w="85" w:type="dxa"/>
              <w:bottom w:w="85" w:type="dxa"/>
              <w:right w:w="85" w:type="dxa"/>
            </w:tcMar>
          </w:tcPr>
          <w:p>
            <w:pPr>
              <w:spacing w:after="40" w:line="245" w:lineRule="auto"/>
            </w:pPr>
            <w:r>
              <w:rPr>
                <w:sz w:val="18"/>
              </w:rPr>
              <w:t>Repository and base branch, trust review, environment, test commands, role bindings, budgets, branch protection and connection tests.</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Agent configuration</w:t>
            </w:r>
          </w:p>
        </w:tc>
        <w:tc>
          <w:tcPr>
            <w:tcW w:type="dxa" w:w="7661"/>
            <w:vAlign w:val="center"/>
            <w:shd w:fill="F1F5F8"/>
            <w:tcMar>
              <w:top w:w="85" w:type="dxa"/>
              <w:left w:w="85" w:type="dxa"/>
              <w:bottom w:w="85" w:type="dxa"/>
              <w:right w:w="85" w:type="dxa"/>
            </w:tcMar>
          </w:tcPr>
          <w:p>
            <w:pPr>
              <w:spacing w:after="40" w:line="245" w:lineRule="auto"/>
            </w:pPr>
            <w:r>
              <w:rPr>
                <w:sz w:val="18"/>
              </w:rPr>
              <w:t>Provider, model or deployment ID, adapter version, health, prompt version, allowed paths/tools, data policy, limits and secret references.</w:t>
            </w:r>
          </w:p>
        </w:tc>
      </w:tr>
      <w:tr>
        <w:trPr>
          <w:cantSplit/>
        </w:trPr>
        <w:tc>
          <w:tcPr>
            <w:tcW w:type="dxa" w:w="2088"/>
            <w:vAlign w:val="center"/>
            <w:shd w:fill="FFFFFF"/>
            <w:tcMar>
              <w:top w:w="85" w:type="dxa"/>
              <w:left w:w="85" w:type="dxa"/>
              <w:bottom w:w="85" w:type="dxa"/>
              <w:right w:w="85" w:type="dxa"/>
            </w:tcMar>
          </w:tcPr>
          <w:p>
            <w:pPr>
              <w:spacing w:after="40" w:line="245" w:lineRule="auto"/>
            </w:pPr>
            <w:r>
              <w:rPr>
                <w:sz w:val="18"/>
              </w:rPr>
              <w:t>Runs and costs</w:t>
            </w:r>
          </w:p>
        </w:tc>
        <w:tc>
          <w:tcPr>
            <w:tcW w:type="dxa" w:w="7661"/>
            <w:vAlign w:val="center"/>
            <w:shd w:fill="FFFFFF"/>
            <w:tcMar>
              <w:top w:w="85" w:type="dxa"/>
              <w:left w:w="85" w:type="dxa"/>
              <w:bottom w:w="85" w:type="dxa"/>
              <w:right w:w="85" w:type="dxa"/>
            </w:tcMar>
          </w:tcPr>
          <w:p>
            <w:pPr>
              <w:spacing w:after="40" w:line="245" w:lineRule="auto"/>
            </w:pPr>
            <w:r>
              <w:rPr>
                <w:sz w:val="18"/>
              </w:rPr>
              <w:t>Attempt status, sanitized output, timeout/retry history, token coverage, estimates and breakdowns by ticket, role and model.</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Notifications and settings</w:t>
            </w:r>
          </w:p>
        </w:tc>
        <w:tc>
          <w:tcPr>
            <w:tcW w:type="dxa" w:w="7661"/>
            <w:vAlign w:val="center"/>
            <w:shd w:fill="F1F5F8"/>
            <w:tcMar>
              <w:top w:w="85" w:type="dxa"/>
              <w:left w:w="85" w:type="dxa"/>
              <w:bottom w:w="85" w:type="dxa"/>
              <w:right w:w="85" w:type="dxa"/>
            </w:tcMar>
          </w:tcPr>
          <w:p>
            <w:pPr>
              <w:spacing w:after="40" w:line="245" w:lineRule="auto"/>
            </w:pPr>
            <w:r>
              <w:rPr>
                <w:sz w:val="18"/>
              </w:rPr>
              <w:t>Decision requests, failures and completion with deep links; preferences, membership and retention policy.</w:t>
            </w:r>
          </w:p>
        </w:tc>
      </w:tr>
    </w:tbl>
    <w:p>
      <w:pPr>
        <w:spacing w:after="0"/>
      </w:pPr>
    </w:p>
    <w:p>
      <w:pPr>
        <w:pStyle w:val="Heading2"/>
      </w:pPr>
      <w:r>
        <w:t>Interaction requirements</w:t>
      </w:r>
    </w:p>
    <w:p>
      <w:r>
        <w:t>Show observed milestones and elapsed time rather than fabricated percentage completion. Missing token counts and unknown costs must remain visibly unknown. Every disabled action explains the unmet prerequisite. Approval views show the exact version and commit being approved. Screen refresh and reconnect must preserve the selected project, filters and ticket context.</w:t>
      </w:r>
    </w:p>
    <w:p>
      <w:pPr>
        <w:pStyle w:val="Heading2"/>
      </w:pPr>
      <w:r>
        <w:t>Operating responsibilities</w:t>
      </w:r>
    </w:p>
    <w:p>
      <w:r>
        <w:t>Product owns priorities and requirements decisions. Engineering owns repository readiness, command allowlists and the review policy. QA owns test coverage and defect classification. Administration owns secret rotation, access revocation and recovery drills. A person may hold more than one human role during the pilot, but all approvals remain attributable to a human identity; agents can never inherit those privileges.</w:t>
      </w:r>
    </w:p>
    <w:p>
      <w:pPr>
        <w:pStyle w:val="Heading2"/>
      </w:pPr>
      <w:r>
        <w:t>Ollama supervision</w:t>
      </w:r>
    </w:p>
    <w:p>
      <w:r>
        <w:t>Only narrow, repetitive work with explicit input, output and verification is eligible: mock data, types, documentation, simple tests or mechanical renames. Authentication, authorization, payments, architecture and migrations always route to Claude. Ollama returns a patch for Claude review; it does not publish a pull request, change approved requirements or determine QA success.</w:t>
      </w:r>
    </w:p>
    <w:p>
      <w:r>
        <w:br w:type="page"/>
      </w:r>
    </w:p>
    <w:p>
      <w:pPr>
        <w:pStyle w:val="Heading1"/>
      </w:pPr>
      <w:r>
        <w:t>5 Quality security and measurement</w:t>
      </w:r>
    </w:p>
    <w:p>
      <w:r>
        <w:t>The following are release targets for the initial load profile of 20 concurrent users, 10 active projects, 10,000 tickets and 8 concurrent agent jobs. Model execution duration is excluded from application response-time targets. The FRD defines how these targets are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752"/>
        <w:gridCol w:w="3917"/>
      </w:tblGrid>
      <w:tr>
        <w:trPr>
          <w:cantSplit/>
          <w:tblHeader/>
        </w:trPr>
        <w:tc>
          <w:tcPr>
            <w:tcW w:type="dxa" w:w="1080"/>
            <w:vAlign w:val="center"/>
            <w:shd w:fill="183B56"/>
            <w:tcMar>
              <w:top w:w="85" w:type="dxa"/>
              <w:left w:w="85" w:type="dxa"/>
              <w:bottom w:w="85" w:type="dxa"/>
              <w:right w:w="85" w:type="dxa"/>
            </w:tcMar>
          </w:tcPr>
          <w:p>
            <w:pPr>
              <w:spacing w:after="40" w:line="245" w:lineRule="auto"/>
            </w:pPr>
            <w:r>
              <w:rPr>
                <w:b/>
                <w:color w:val="FFFFFF"/>
                <w:sz w:val="18"/>
              </w:rPr>
              <w:t>ID</w:t>
            </w:r>
          </w:p>
        </w:tc>
        <w:tc>
          <w:tcPr>
            <w:tcW w:type="dxa" w:w="4752"/>
            <w:vAlign w:val="center"/>
            <w:shd w:fill="183B56"/>
            <w:tcMar>
              <w:top w:w="85" w:type="dxa"/>
              <w:left w:w="85" w:type="dxa"/>
              <w:bottom w:w="85" w:type="dxa"/>
              <w:right w:w="85" w:type="dxa"/>
            </w:tcMar>
          </w:tcPr>
          <w:p>
            <w:pPr>
              <w:spacing w:after="40" w:line="245" w:lineRule="auto"/>
            </w:pPr>
            <w:r>
              <w:rPr>
                <w:b/>
                <w:color w:val="FFFFFF"/>
                <w:sz w:val="18"/>
              </w:rPr>
              <w:t>Target</w:t>
            </w:r>
          </w:p>
        </w:tc>
        <w:tc>
          <w:tcPr>
            <w:tcW w:type="dxa" w:w="3917"/>
            <w:vAlign w:val="center"/>
            <w:shd w:fill="183B56"/>
            <w:tcMar>
              <w:top w:w="85" w:type="dxa"/>
              <w:left w:w="85" w:type="dxa"/>
              <w:bottom w:w="85" w:type="dxa"/>
              <w:right w:w="85" w:type="dxa"/>
            </w:tcMar>
          </w:tcPr>
          <w:p>
            <w:pPr>
              <w:spacing w:after="40" w:line="245" w:lineRule="auto"/>
            </w:pPr>
            <w:r>
              <w:rPr>
                <w:b/>
                <w:color w:val="FFFFFF"/>
                <w:sz w:val="18"/>
              </w:rPr>
              <w:t>Measurement</w:t>
            </w:r>
          </w:p>
        </w:tc>
      </w:tr>
      <w:tr>
        <w:trPr>
          <w:cantSplit/>
        </w:trPr>
        <w:tc>
          <w:tcPr>
            <w:tcW w:type="dxa" w:w="1080"/>
            <w:vAlign w:val="center"/>
            <w:shd w:fill="F1F5F8"/>
            <w:tcMar>
              <w:top w:w="85" w:type="dxa"/>
              <w:left w:w="85" w:type="dxa"/>
              <w:bottom w:w="85" w:type="dxa"/>
              <w:right w:w="85" w:type="dxa"/>
            </w:tcMar>
          </w:tcPr>
          <w:p>
            <w:pPr>
              <w:spacing w:after="40" w:line="245" w:lineRule="auto"/>
            </w:pPr>
            <w:r>
              <w:rPr>
                <w:sz w:val="18"/>
              </w:rPr>
              <w:t>NFR-01</w:t>
            </w:r>
          </w:p>
        </w:tc>
        <w:tc>
          <w:tcPr>
            <w:tcW w:type="dxa" w:w="4752"/>
            <w:vAlign w:val="center"/>
            <w:shd w:fill="F1F5F8"/>
            <w:tcMar>
              <w:top w:w="85" w:type="dxa"/>
              <w:left w:w="85" w:type="dxa"/>
              <w:bottom w:w="85" w:type="dxa"/>
              <w:right w:w="85" w:type="dxa"/>
            </w:tcMar>
          </w:tcPr>
          <w:p>
            <w:pPr>
              <w:spacing w:after="40" w:line="245" w:lineRule="auto"/>
            </w:pPr>
            <w:r>
              <w:rPr>
                <w:sz w:val="18"/>
              </w:rPr>
              <w:t>Dashboard and ticket reads p95 ≤ 2 s; command acknowledgement p95 ≤ 1 s.</w:t>
            </w:r>
          </w:p>
        </w:tc>
        <w:tc>
          <w:tcPr>
            <w:tcW w:type="dxa" w:w="3917"/>
            <w:vAlign w:val="center"/>
            <w:shd w:fill="F1F5F8"/>
            <w:tcMar>
              <w:top w:w="85" w:type="dxa"/>
              <w:left w:w="85" w:type="dxa"/>
              <w:bottom w:w="85" w:type="dxa"/>
              <w:right w:w="85" w:type="dxa"/>
            </w:tcMar>
          </w:tcPr>
          <w:p>
            <w:pPr>
              <w:spacing w:after="40" w:line="245" w:lineRule="auto"/>
            </w:pPr>
            <w:r>
              <w:rPr>
                <w:sz w:val="18"/>
              </w:rPr>
              <w:t>30-minute load test at baseline load.</w:t>
            </w:r>
          </w:p>
        </w:tc>
      </w:tr>
      <w:tr>
        <w:trPr>
          <w:cantSplit/>
        </w:trPr>
        <w:tc>
          <w:tcPr>
            <w:tcW w:type="dxa" w:w="1080"/>
            <w:vAlign w:val="center"/>
            <w:shd w:fill="FFFFFF"/>
            <w:tcMar>
              <w:top w:w="85" w:type="dxa"/>
              <w:left w:w="85" w:type="dxa"/>
              <w:bottom w:w="85" w:type="dxa"/>
              <w:right w:w="85" w:type="dxa"/>
            </w:tcMar>
          </w:tcPr>
          <w:p>
            <w:pPr>
              <w:spacing w:after="40" w:line="245" w:lineRule="auto"/>
            </w:pPr>
            <w:r>
              <w:rPr>
                <w:sz w:val="18"/>
              </w:rPr>
              <w:t>NFR-02</w:t>
            </w:r>
          </w:p>
        </w:tc>
        <w:tc>
          <w:tcPr>
            <w:tcW w:type="dxa" w:w="4752"/>
            <w:vAlign w:val="center"/>
            <w:shd w:fill="FFFFFF"/>
            <w:tcMar>
              <w:top w:w="85" w:type="dxa"/>
              <w:left w:w="85" w:type="dxa"/>
              <w:bottom w:w="85" w:type="dxa"/>
              <w:right w:w="85" w:type="dxa"/>
            </w:tcMar>
          </w:tcPr>
          <w:p>
            <w:pPr>
              <w:spacing w:after="40" w:line="245" w:lineRule="auto"/>
            </w:pPr>
            <w:r>
              <w:rPr>
                <w:sz w:val="18"/>
              </w:rPr>
              <w:t>Committed state reaches connected clients p95 ≤ 5 s.</w:t>
            </w:r>
          </w:p>
        </w:tc>
        <w:tc>
          <w:tcPr>
            <w:tcW w:type="dxa" w:w="3917"/>
            <w:vAlign w:val="center"/>
            <w:shd w:fill="FFFFFF"/>
            <w:tcMar>
              <w:top w:w="85" w:type="dxa"/>
              <w:left w:w="85" w:type="dxa"/>
              <w:bottom w:w="85" w:type="dxa"/>
              <w:right w:w="85" w:type="dxa"/>
            </w:tcMar>
          </w:tcPr>
          <w:p>
            <w:pPr>
              <w:spacing w:after="40" w:line="245" w:lineRule="auto"/>
            </w:pPr>
            <w:r>
              <w:rPr>
                <w:sz w:val="18"/>
              </w:rPr>
              <w:t>Timestamp comparison across 1,000 events.</w:t>
            </w:r>
          </w:p>
        </w:tc>
      </w:tr>
      <w:tr>
        <w:trPr>
          <w:cantSplit/>
        </w:trPr>
        <w:tc>
          <w:tcPr>
            <w:tcW w:type="dxa" w:w="1080"/>
            <w:vAlign w:val="center"/>
            <w:shd w:fill="F1F5F8"/>
            <w:tcMar>
              <w:top w:w="85" w:type="dxa"/>
              <w:left w:w="85" w:type="dxa"/>
              <w:bottom w:w="85" w:type="dxa"/>
              <w:right w:w="85" w:type="dxa"/>
            </w:tcMar>
          </w:tcPr>
          <w:p>
            <w:pPr>
              <w:spacing w:after="40" w:line="245" w:lineRule="auto"/>
            </w:pPr>
            <w:r>
              <w:rPr>
                <w:sz w:val="18"/>
              </w:rPr>
              <w:t>NFR-03</w:t>
            </w:r>
          </w:p>
        </w:tc>
        <w:tc>
          <w:tcPr>
            <w:tcW w:type="dxa" w:w="4752"/>
            <w:vAlign w:val="center"/>
            <w:shd w:fill="F1F5F8"/>
            <w:tcMar>
              <w:top w:w="85" w:type="dxa"/>
              <w:left w:w="85" w:type="dxa"/>
              <w:bottom w:w="85" w:type="dxa"/>
              <w:right w:w="85" w:type="dxa"/>
            </w:tcMar>
          </w:tcPr>
          <w:p>
            <w:pPr>
              <w:spacing w:after="40" w:line="245" w:lineRule="auto"/>
            </w:pPr>
            <w:r>
              <w:rPr>
                <w:sz w:val="18"/>
              </w:rPr>
              <w:t>99.5% monthly control-plane availability target.</w:t>
            </w:r>
          </w:p>
        </w:tc>
        <w:tc>
          <w:tcPr>
            <w:tcW w:type="dxa" w:w="3917"/>
            <w:vAlign w:val="center"/>
            <w:shd w:fill="F1F5F8"/>
            <w:tcMar>
              <w:top w:w="85" w:type="dxa"/>
              <w:left w:w="85" w:type="dxa"/>
              <w:bottom w:w="85" w:type="dxa"/>
              <w:right w:w="85" w:type="dxa"/>
            </w:tcMar>
          </w:tcPr>
          <w:p>
            <w:pPr>
              <w:spacing w:after="40" w:line="245" w:lineRule="auto"/>
            </w:pPr>
            <w:r>
              <w:rPr>
                <w:sz w:val="18"/>
              </w:rPr>
              <w:t>Synthetic checks; provider outages reported separately.</w:t>
            </w:r>
          </w:p>
        </w:tc>
      </w:tr>
      <w:tr>
        <w:trPr>
          <w:cantSplit/>
        </w:trPr>
        <w:tc>
          <w:tcPr>
            <w:tcW w:type="dxa" w:w="1080"/>
            <w:vAlign w:val="center"/>
            <w:shd w:fill="FFFFFF"/>
            <w:tcMar>
              <w:top w:w="85" w:type="dxa"/>
              <w:left w:w="85" w:type="dxa"/>
              <w:bottom w:w="85" w:type="dxa"/>
              <w:right w:w="85" w:type="dxa"/>
            </w:tcMar>
          </w:tcPr>
          <w:p>
            <w:pPr>
              <w:spacing w:after="40" w:line="245" w:lineRule="auto"/>
            </w:pPr>
            <w:r>
              <w:rPr>
                <w:sz w:val="18"/>
              </w:rPr>
              <w:t>NFR-04</w:t>
            </w:r>
          </w:p>
        </w:tc>
        <w:tc>
          <w:tcPr>
            <w:tcW w:type="dxa" w:w="4752"/>
            <w:vAlign w:val="center"/>
            <w:shd w:fill="FFFFFF"/>
            <w:tcMar>
              <w:top w:w="85" w:type="dxa"/>
              <w:left w:w="85" w:type="dxa"/>
              <w:bottom w:w="85" w:type="dxa"/>
              <w:right w:w="85" w:type="dxa"/>
            </w:tcMar>
          </w:tcPr>
          <w:p>
            <w:pPr>
              <w:spacing w:after="40" w:line="245" w:lineRule="auto"/>
            </w:pPr>
            <w:r>
              <w:rPr>
                <w:sz w:val="18"/>
              </w:rPr>
              <w:t>Recovery point ≤ 15 min; recovery time ≤ 4 h.</w:t>
            </w:r>
          </w:p>
        </w:tc>
        <w:tc>
          <w:tcPr>
            <w:tcW w:type="dxa" w:w="3917"/>
            <w:vAlign w:val="center"/>
            <w:shd w:fill="FFFFFF"/>
            <w:tcMar>
              <w:top w:w="85" w:type="dxa"/>
              <w:left w:w="85" w:type="dxa"/>
              <w:bottom w:w="85" w:type="dxa"/>
              <w:right w:w="85" w:type="dxa"/>
            </w:tcMar>
          </w:tcPr>
          <w:p>
            <w:pPr>
              <w:spacing w:after="40" w:line="245" w:lineRule="auto"/>
            </w:pPr>
            <w:r>
              <w:rPr>
                <w:sz w:val="18"/>
              </w:rPr>
              <w:t>Restore DB, artifacts and secrets references in a drill.</w:t>
            </w:r>
          </w:p>
        </w:tc>
      </w:tr>
      <w:tr>
        <w:trPr>
          <w:cantSplit/>
        </w:trPr>
        <w:tc>
          <w:tcPr>
            <w:tcW w:type="dxa" w:w="1080"/>
            <w:vAlign w:val="center"/>
            <w:shd w:fill="F1F5F8"/>
            <w:tcMar>
              <w:top w:w="85" w:type="dxa"/>
              <w:left w:w="85" w:type="dxa"/>
              <w:bottom w:w="85" w:type="dxa"/>
              <w:right w:w="85" w:type="dxa"/>
            </w:tcMar>
          </w:tcPr>
          <w:p>
            <w:pPr>
              <w:spacing w:after="40" w:line="245" w:lineRule="auto"/>
            </w:pPr>
            <w:r>
              <w:rPr>
                <w:sz w:val="18"/>
              </w:rPr>
              <w:t>NFR-05</w:t>
            </w:r>
          </w:p>
        </w:tc>
        <w:tc>
          <w:tcPr>
            <w:tcW w:type="dxa" w:w="4752"/>
            <w:vAlign w:val="center"/>
            <w:shd w:fill="F1F5F8"/>
            <w:tcMar>
              <w:top w:w="85" w:type="dxa"/>
              <w:left w:w="85" w:type="dxa"/>
              <w:bottom w:w="85" w:type="dxa"/>
              <w:right w:w="85" w:type="dxa"/>
            </w:tcMar>
          </w:tcPr>
          <w:p>
            <w:pPr>
              <w:spacing w:after="40" w:line="245" w:lineRule="auto"/>
            </w:pPr>
            <w:r>
              <w:rPr>
                <w:sz w:val="18"/>
              </w:rPr>
              <w:t>No unauthorized gate, cross-project access or protected-branch write.</w:t>
            </w:r>
          </w:p>
        </w:tc>
        <w:tc>
          <w:tcPr>
            <w:tcW w:type="dxa" w:w="3917"/>
            <w:vAlign w:val="center"/>
            <w:shd w:fill="F1F5F8"/>
            <w:tcMar>
              <w:top w:w="85" w:type="dxa"/>
              <w:left w:w="85" w:type="dxa"/>
              <w:bottom w:w="85" w:type="dxa"/>
              <w:right w:w="85" w:type="dxa"/>
            </w:tcMar>
          </w:tcPr>
          <w:p>
            <w:pPr>
              <w:spacing w:after="40" w:line="245" w:lineRule="auto"/>
            </w:pPr>
            <w:r>
              <w:rPr>
                <w:sz w:val="18"/>
              </w:rPr>
              <w:t>Negative authorization and isolated-worker tests.</w:t>
            </w:r>
          </w:p>
        </w:tc>
      </w:tr>
      <w:tr>
        <w:trPr>
          <w:cantSplit/>
        </w:trPr>
        <w:tc>
          <w:tcPr>
            <w:tcW w:type="dxa" w:w="1080"/>
            <w:vAlign w:val="center"/>
            <w:shd w:fill="FFFFFF"/>
            <w:tcMar>
              <w:top w:w="85" w:type="dxa"/>
              <w:left w:w="85" w:type="dxa"/>
              <w:bottom w:w="85" w:type="dxa"/>
              <w:right w:w="85" w:type="dxa"/>
            </w:tcMar>
          </w:tcPr>
          <w:p>
            <w:pPr>
              <w:spacing w:after="40" w:line="245" w:lineRule="auto"/>
            </w:pPr>
            <w:r>
              <w:rPr>
                <w:sz w:val="18"/>
              </w:rPr>
              <w:t>NFR-06</w:t>
            </w:r>
          </w:p>
        </w:tc>
        <w:tc>
          <w:tcPr>
            <w:tcW w:type="dxa" w:w="4752"/>
            <w:vAlign w:val="center"/>
            <w:shd w:fill="FFFFFF"/>
            <w:tcMar>
              <w:top w:w="85" w:type="dxa"/>
              <w:left w:w="85" w:type="dxa"/>
              <w:bottom w:w="85" w:type="dxa"/>
              <w:right w:w="85" w:type="dxa"/>
            </w:tcMar>
          </w:tcPr>
          <w:p>
            <w:pPr>
              <w:spacing w:after="40" w:line="245" w:lineRule="auto"/>
            </w:pPr>
            <w:r>
              <w:rPr>
                <w:sz w:val="18"/>
              </w:rPr>
              <w:t>Keyboard-operable core journey and WCAG 2.2 AA target.</w:t>
            </w:r>
          </w:p>
        </w:tc>
        <w:tc>
          <w:tcPr>
            <w:tcW w:type="dxa" w:w="3917"/>
            <w:vAlign w:val="center"/>
            <w:shd w:fill="FFFFFF"/>
            <w:tcMar>
              <w:top w:w="85" w:type="dxa"/>
              <w:left w:w="85" w:type="dxa"/>
              <w:bottom w:w="85" w:type="dxa"/>
              <w:right w:w="85" w:type="dxa"/>
            </w:tcMar>
          </w:tcPr>
          <w:p>
            <w:pPr>
              <w:spacing w:after="40" w:line="245" w:lineRule="auto"/>
            </w:pPr>
            <w:r>
              <w:rPr>
                <w:sz w:val="18"/>
              </w:rPr>
              <w:t>Automated checks plus manual keyboard and screen-reader review.</w:t>
            </w:r>
          </w:p>
        </w:tc>
      </w:tr>
      <w:tr>
        <w:trPr>
          <w:cantSplit/>
        </w:trPr>
        <w:tc>
          <w:tcPr>
            <w:tcW w:type="dxa" w:w="1080"/>
            <w:vAlign w:val="center"/>
            <w:shd w:fill="F1F5F8"/>
            <w:tcMar>
              <w:top w:w="85" w:type="dxa"/>
              <w:left w:w="85" w:type="dxa"/>
              <w:bottom w:w="85" w:type="dxa"/>
              <w:right w:w="85" w:type="dxa"/>
            </w:tcMar>
          </w:tcPr>
          <w:p>
            <w:pPr>
              <w:spacing w:after="40" w:line="245" w:lineRule="auto"/>
            </w:pPr>
            <w:r>
              <w:rPr>
                <w:sz w:val="18"/>
              </w:rPr>
              <w:t>NFR-07</w:t>
            </w:r>
          </w:p>
        </w:tc>
        <w:tc>
          <w:tcPr>
            <w:tcW w:type="dxa" w:w="4752"/>
            <w:vAlign w:val="center"/>
            <w:shd w:fill="F1F5F8"/>
            <w:tcMar>
              <w:top w:w="85" w:type="dxa"/>
              <w:left w:w="85" w:type="dxa"/>
              <w:bottom w:w="85" w:type="dxa"/>
              <w:right w:w="85" w:type="dxa"/>
            </w:tcMar>
          </w:tcPr>
          <w:p>
            <w:pPr>
              <w:spacing w:after="40" w:line="245" w:lineRule="auto"/>
            </w:pPr>
            <w:r>
              <w:rPr>
                <w:sz w:val="18"/>
              </w:rPr>
              <w:t>All state changes and approvals have audit events; no plaintext secrets in logs.</w:t>
            </w:r>
          </w:p>
        </w:tc>
        <w:tc>
          <w:tcPr>
            <w:tcW w:type="dxa" w:w="3917"/>
            <w:vAlign w:val="center"/>
            <w:shd w:fill="F1F5F8"/>
            <w:tcMar>
              <w:top w:w="85" w:type="dxa"/>
              <w:left w:w="85" w:type="dxa"/>
              <w:bottom w:w="85" w:type="dxa"/>
              <w:right w:w="85" w:type="dxa"/>
            </w:tcMar>
          </w:tcPr>
          <w:p>
            <w:pPr>
              <w:spacing w:after="40" w:line="245" w:lineRule="auto"/>
            </w:pPr>
            <w:r>
              <w:rPr>
                <w:sz w:val="18"/>
              </w:rPr>
              <w:t>Event reconciliation and planted-secret redaction tests.</w:t>
            </w:r>
          </w:p>
        </w:tc>
      </w:tr>
    </w:tbl>
    <w:p>
      <w:pPr>
        <w:spacing w:after="0"/>
      </w:pPr>
    </w:p>
    <w:p>
      <w:pPr>
        <w:pStyle w:val="Heading2"/>
      </w:pPr>
      <w:r>
        <w:t>Security and data lifecycle</w:t>
      </w:r>
    </w:p>
    <w:p>
      <w:r>
        <w:t>Enforce access at the API, worker broker and storage layers. Workers have isolated filesystems, development-only credentials, bounded resources and restricted egress. Treat repository content and model output as untrusted. Default retention is 90 days for sanitized run logs, 365 days for audit and approvals, and 180 days after ticket completion for evidence artifacts; production policy must be approved before live adoption.</w:t>
      </w:r>
    </w:p>
    <w:p>
      <w:pPr>
        <w:pStyle w:val="Heading2"/>
      </w:pPr>
      <w:r>
        <w:t>Pilot success measures</w:t>
      </w:r>
    </w:p>
    <w:p>
      <w:r>
        <w:t>Run at least 20 representative tickets over four weeks, including failures and cancellations. Target ≥90% of eligible handoffs without manual copying, 100% requirement-to-QA traceability on merged tickets, and zero gate bypasses. Compare median human coordination time against a measured pre-pilot baseline; target a 30% reduction. These are proposed acceptance targets, not observed results.</w:t>
      </w:r>
    </w:p>
    <w:p>
      <w:r>
        <w:t>Track first-pass QA rate, fix cycles per ticket, time waiting on humans, cost per merged ticket, aborted spend and escaped defects within 14 days of merge. Report sample size and task complexity; do not use a faster merge rate as a substitute for quality. Cost reporting must distinguish measured usage, estimates, subscriptions and local hardware costs.</w:t>
      </w:r>
    </w:p>
    <w:p>
      <w:r>
        <w:br w:type="page"/>
      </w:r>
    </w:p>
    <w:p>
      <w:pPr>
        <w:pStyle w:val="Heading1"/>
      </w:pPr>
      <w:r>
        <w:t>6 Delivery plan risks and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248"/>
        <w:gridCol w:w="3845"/>
      </w:tblGrid>
      <w:tr>
        <w:trPr>
          <w:cantSplit/>
          <w:tblHeader/>
        </w:trPr>
        <w:tc>
          <w:tcPr>
            <w:tcW w:type="dxa" w:w="1656"/>
            <w:vAlign w:val="center"/>
            <w:shd w:fill="183B56"/>
            <w:tcMar>
              <w:top w:w="85" w:type="dxa"/>
              <w:left w:w="85" w:type="dxa"/>
              <w:bottom w:w="85" w:type="dxa"/>
              <w:right w:w="85" w:type="dxa"/>
            </w:tcMar>
          </w:tcPr>
          <w:p>
            <w:pPr>
              <w:spacing w:after="40" w:line="245" w:lineRule="auto"/>
            </w:pPr>
            <w:r>
              <w:rPr>
                <w:b/>
                <w:color w:val="FFFFFF"/>
                <w:sz w:val="18"/>
              </w:rPr>
              <w:t>Stage</w:t>
            </w:r>
          </w:p>
        </w:tc>
        <w:tc>
          <w:tcPr>
            <w:tcW w:type="dxa" w:w="4248"/>
            <w:vAlign w:val="center"/>
            <w:shd w:fill="183B56"/>
            <w:tcMar>
              <w:top w:w="85" w:type="dxa"/>
              <w:left w:w="85" w:type="dxa"/>
              <w:bottom w:w="85" w:type="dxa"/>
              <w:right w:w="85" w:type="dxa"/>
            </w:tcMar>
          </w:tcPr>
          <w:p>
            <w:pPr>
              <w:spacing w:after="40" w:line="245" w:lineRule="auto"/>
            </w:pPr>
            <w:r>
              <w:rPr>
                <w:b/>
                <w:color w:val="FFFFFF"/>
                <w:sz w:val="18"/>
              </w:rPr>
              <w:t>Deliverable</w:t>
            </w:r>
          </w:p>
        </w:tc>
        <w:tc>
          <w:tcPr>
            <w:tcW w:type="dxa" w:w="3845"/>
            <w:vAlign w:val="center"/>
            <w:shd w:fill="183B56"/>
            <w:tcMar>
              <w:top w:w="85" w:type="dxa"/>
              <w:left w:w="85" w:type="dxa"/>
              <w:bottom w:w="85" w:type="dxa"/>
              <w:right w:w="85" w:type="dxa"/>
            </w:tcMar>
          </w:tcPr>
          <w:p>
            <w:pPr>
              <w:spacing w:after="40" w:line="245" w:lineRule="auto"/>
            </w:pPr>
            <w:r>
              <w:rPr>
                <w:b/>
                <w:color w:val="FFFFFF"/>
                <w:sz w:val="18"/>
              </w:rPr>
              <w:t>Exit criterion</w:t>
            </w:r>
          </w:p>
        </w:tc>
      </w:tr>
      <w:tr>
        <w:trPr>
          <w:cantSplit/>
        </w:trPr>
        <w:tc>
          <w:tcPr>
            <w:tcW w:type="dxa" w:w="1656"/>
            <w:vAlign w:val="center"/>
            <w:shd w:fill="F1F5F8"/>
            <w:tcMar>
              <w:top w:w="85" w:type="dxa"/>
              <w:left w:w="85" w:type="dxa"/>
              <w:bottom w:w="85" w:type="dxa"/>
              <w:right w:w="85" w:type="dxa"/>
            </w:tcMar>
          </w:tcPr>
          <w:p>
            <w:pPr>
              <w:spacing w:after="40" w:line="245" w:lineRule="auto"/>
            </w:pPr>
            <w:r>
              <w:rPr>
                <w:sz w:val="18"/>
              </w:rPr>
              <w:t>Foundation</w:t>
            </w:r>
          </w:p>
        </w:tc>
        <w:tc>
          <w:tcPr>
            <w:tcW w:type="dxa" w:w="4248"/>
            <w:vAlign w:val="center"/>
            <w:shd w:fill="F1F5F8"/>
            <w:tcMar>
              <w:top w:w="85" w:type="dxa"/>
              <w:left w:w="85" w:type="dxa"/>
              <w:bottom w:w="85" w:type="dxa"/>
              <w:right w:w="85" w:type="dxa"/>
            </w:tcMar>
          </w:tcPr>
          <w:p>
            <w:pPr>
              <w:spacing w:after="40" w:line="245" w:lineRule="auto"/>
            </w:pPr>
            <w:r>
              <w:rPr>
                <w:sz w:val="18"/>
              </w:rPr>
              <w:t>Identity, RBAC, project setup, state store, audit, sandbox and adapter contracts.</w:t>
            </w:r>
          </w:p>
        </w:tc>
        <w:tc>
          <w:tcPr>
            <w:tcW w:type="dxa" w:w="3845"/>
            <w:vAlign w:val="center"/>
            <w:shd w:fill="F1F5F8"/>
            <w:tcMar>
              <w:top w:w="85" w:type="dxa"/>
              <w:left w:w="85" w:type="dxa"/>
              <w:bottom w:w="85" w:type="dxa"/>
              <w:right w:w="85" w:type="dxa"/>
            </w:tcMar>
          </w:tcPr>
          <w:p>
            <w:pPr>
              <w:spacing w:after="40" w:line="245" w:lineRule="auto"/>
            </w:pPr>
            <w:r>
              <w:rPr>
                <w:sz w:val="18"/>
              </w:rPr>
              <w:t>Denied-action and duplicate-event tests pass.</w:t>
            </w:r>
          </w:p>
        </w:tc>
      </w:tr>
      <w:tr>
        <w:trPr>
          <w:cantSplit/>
        </w:trPr>
        <w:tc>
          <w:tcPr>
            <w:tcW w:type="dxa" w:w="1656"/>
            <w:vAlign w:val="center"/>
            <w:shd w:fill="FFFFFF"/>
            <w:tcMar>
              <w:top w:w="85" w:type="dxa"/>
              <w:left w:w="85" w:type="dxa"/>
              <w:bottom w:w="85" w:type="dxa"/>
              <w:right w:w="85" w:type="dxa"/>
            </w:tcMar>
          </w:tcPr>
          <w:p>
            <w:pPr>
              <w:spacing w:after="40" w:line="245" w:lineRule="auto"/>
            </w:pPr>
            <w:r>
              <w:rPr>
                <w:sz w:val="18"/>
              </w:rPr>
              <w:t>Vertical slice</w:t>
            </w:r>
          </w:p>
        </w:tc>
        <w:tc>
          <w:tcPr>
            <w:tcW w:type="dxa" w:w="4248"/>
            <w:vAlign w:val="center"/>
            <w:shd w:fill="FFFFFF"/>
            <w:tcMar>
              <w:top w:w="85" w:type="dxa"/>
              <w:left w:w="85" w:type="dxa"/>
              <w:bottom w:w="85" w:type="dxa"/>
              <w:right w:w="85" w:type="dxa"/>
            </w:tcMar>
          </w:tcPr>
          <w:p>
            <w:pPr>
              <w:spacing w:after="40" w:line="245" w:lineRule="auto"/>
            </w:pPr>
            <w:r>
              <w:rPr>
                <w:sz w:val="18"/>
              </w:rPr>
              <w:t>One ticket through Gemini, requirements gate, Claude, Codex and approved merge.</w:t>
            </w:r>
          </w:p>
        </w:tc>
        <w:tc>
          <w:tcPr>
            <w:tcW w:type="dxa" w:w="3845"/>
            <w:vAlign w:val="center"/>
            <w:shd w:fill="FFFFFF"/>
            <w:tcMar>
              <w:top w:w="85" w:type="dxa"/>
              <w:left w:w="85" w:type="dxa"/>
              <w:bottom w:w="85" w:type="dxa"/>
              <w:right w:w="85" w:type="dxa"/>
            </w:tcMar>
          </w:tcPr>
          <w:p>
            <w:pPr>
              <w:spacing w:after="40" w:line="245" w:lineRule="auto"/>
            </w:pPr>
            <w:r>
              <w:rPr>
                <w:sz w:val="18"/>
              </w:rPr>
              <w:t>Happy path and one QA-fix-retest cycle demonstrated.</w:t>
            </w:r>
          </w:p>
        </w:tc>
      </w:tr>
      <w:tr>
        <w:trPr>
          <w:cantSplit/>
        </w:trPr>
        <w:tc>
          <w:tcPr>
            <w:tcW w:type="dxa" w:w="1656"/>
            <w:vAlign w:val="center"/>
            <w:shd w:fill="F1F5F8"/>
            <w:tcMar>
              <w:top w:w="85" w:type="dxa"/>
              <w:left w:w="85" w:type="dxa"/>
              <w:bottom w:w="85" w:type="dxa"/>
              <w:right w:w="85" w:type="dxa"/>
            </w:tcMar>
          </w:tcPr>
          <w:p>
            <w:pPr>
              <w:spacing w:after="40" w:line="245" w:lineRule="auto"/>
            </w:pPr>
            <w:r>
              <w:rPr>
                <w:sz w:val="18"/>
              </w:rPr>
              <w:t>MVP completion</w:t>
            </w:r>
          </w:p>
        </w:tc>
        <w:tc>
          <w:tcPr>
            <w:tcW w:type="dxa" w:w="4248"/>
            <w:vAlign w:val="center"/>
            <w:shd w:fill="F1F5F8"/>
            <w:tcMar>
              <w:top w:w="85" w:type="dxa"/>
              <w:left w:w="85" w:type="dxa"/>
              <w:bottom w:w="85" w:type="dxa"/>
              <w:right w:w="85" w:type="dxa"/>
            </w:tcMar>
          </w:tcPr>
          <w:p>
            <w:pPr>
              <w:spacing w:after="40" w:line="245" w:lineRule="auto"/>
            </w:pPr>
            <w:r>
              <w:rPr>
                <w:sz w:val="18"/>
              </w:rPr>
              <w:t>Ollama delegation, costs, notifications, operational recovery and release records.</w:t>
            </w:r>
          </w:p>
        </w:tc>
        <w:tc>
          <w:tcPr>
            <w:tcW w:type="dxa" w:w="3845"/>
            <w:vAlign w:val="center"/>
            <w:shd w:fill="F1F5F8"/>
            <w:tcMar>
              <w:top w:w="85" w:type="dxa"/>
              <w:left w:w="85" w:type="dxa"/>
              <w:bottom w:w="85" w:type="dxa"/>
              <w:right w:w="85" w:type="dxa"/>
            </w:tcMar>
          </w:tcPr>
          <w:p>
            <w:pPr>
              <w:spacing w:after="40" w:line="245" w:lineRule="auto"/>
            </w:pPr>
            <w:r>
              <w:rPr>
                <w:sz w:val="18"/>
              </w:rPr>
              <w:t>All FRD acceptance cases and NFR gates pass.</w:t>
            </w:r>
          </w:p>
        </w:tc>
      </w:tr>
      <w:tr>
        <w:trPr>
          <w:cantSplit/>
        </w:trPr>
        <w:tc>
          <w:tcPr>
            <w:tcW w:type="dxa" w:w="1656"/>
            <w:vAlign w:val="center"/>
            <w:shd w:fill="FFFFFF"/>
            <w:tcMar>
              <w:top w:w="85" w:type="dxa"/>
              <w:left w:w="85" w:type="dxa"/>
              <w:bottom w:w="85" w:type="dxa"/>
              <w:right w:w="85" w:type="dxa"/>
            </w:tcMar>
          </w:tcPr>
          <w:p>
            <w:pPr>
              <w:spacing w:after="40" w:line="245" w:lineRule="auto"/>
            </w:pPr>
            <w:r>
              <w:rPr>
                <w:sz w:val="18"/>
              </w:rPr>
              <w:t>Pilot release</w:t>
            </w:r>
          </w:p>
        </w:tc>
        <w:tc>
          <w:tcPr>
            <w:tcW w:type="dxa" w:w="4248"/>
            <w:vAlign w:val="center"/>
            <w:shd w:fill="FFFFFF"/>
            <w:tcMar>
              <w:top w:w="85" w:type="dxa"/>
              <w:left w:w="85" w:type="dxa"/>
              <w:bottom w:w="85" w:type="dxa"/>
              <w:right w:w="85" w:type="dxa"/>
            </w:tcMar>
          </w:tcPr>
          <w:p>
            <w:pPr>
              <w:spacing w:after="40" w:line="245" w:lineRule="auto"/>
            </w:pPr>
            <w:r>
              <w:rPr>
                <w:sz w:val="18"/>
              </w:rPr>
              <w:t>Four-week controlled pilot with representative tickets.</w:t>
            </w:r>
          </w:p>
        </w:tc>
        <w:tc>
          <w:tcPr>
            <w:tcW w:type="dxa" w:w="3845"/>
            <w:vAlign w:val="center"/>
            <w:shd w:fill="FFFFFF"/>
            <w:tcMar>
              <w:top w:w="85" w:type="dxa"/>
              <w:left w:w="85" w:type="dxa"/>
              <w:bottom w:w="85" w:type="dxa"/>
              <w:right w:w="85" w:type="dxa"/>
            </w:tcMar>
          </w:tcPr>
          <w:p>
            <w:pPr>
              <w:spacing w:after="40" w:line="245" w:lineRule="auto"/>
            </w:pPr>
            <w:r>
              <w:rPr>
                <w:sz w:val="18"/>
              </w:rPr>
              <w:t>Product, engineering, QA and security sign off on measured results.</w:t>
            </w:r>
          </w:p>
        </w:tc>
      </w:tr>
    </w:tbl>
    <w:p>
      <w:pPr>
        <w:spacing w:after="0"/>
      </w:pPr>
    </w:p>
    <w:p>
      <w:pPr>
        <w:pStyle w:val="Heading2"/>
      </w:pPr>
      <w:r>
        <w:t>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725"/>
      </w:tblGrid>
      <w:tr>
        <w:trPr>
          <w:cantSplit/>
          <w:tblHeader/>
        </w:trPr>
        <w:tc>
          <w:tcPr>
            <w:tcW w:type="dxa" w:w="3024"/>
            <w:vAlign w:val="center"/>
            <w:shd w:fill="183B56"/>
            <w:tcMar>
              <w:top w:w="85" w:type="dxa"/>
              <w:left w:w="85" w:type="dxa"/>
              <w:bottom w:w="85" w:type="dxa"/>
              <w:right w:w="85" w:type="dxa"/>
            </w:tcMar>
          </w:tcPr>
          <w:p>
            <w:pPr>
              <w:spacing w:after="40" w:line="245" w:lineRule="auto"/>
            </w:pPr>
            <w:r>
              <w:rPr>
                <w:b/>
                <w:color w:val="FFFFFF"/>
                <w:sz w:val="18"/>
              </w:rPr>
              <w:t>Risk</w:t>
            </w:r>
          </w:p>
        </w:tc>
        <w:tc>
          <w:tcPr>
            <w:tcW w:type="dxa" w:w="6725"/>
            <w:vAlign w:val="center"/>
            <w:shd w:fill="183B56"/>
            <w:tcMar>
              <w:top w:w="85" w:type="dxa"/>
              <w:left w:w="85" w:type="dxa"/>
              <w:bottom w:w="85" w:type="dxa"/>
              <w:right w:w="85" w:type="dxa"/>
            </w:tcMar>
          </w:tcPr>
          <w:p>
            <w:pPr>
              <w:spacing w:after="40" w:line="245" w:lineRule="auto"/>
            </w:pPr>
            <w:r>
              <w:rPr>
                <w:b/>
                <w:color w:val="FFFFFF"/>
                <w:sz w:val="18"/>
              </w:rPr>
              <w:t>Mitigation and accountable role</w:t>
            </w:r>
          </w:p>
        </w:tc>
      </w:tr>
      <w:tr>
        <w:trPr>
          <w:cantSplit/>
        </w:trPr>
        <w:tc>
          <w:tcPr>
            <w:tcW w:type="dxa" w:w="3024"/>
            <w:vAlign w:val="center"/>
            <w:shd w:fill="F1F5F8"/>
            <w:tcMar>
              <w:top w:w="85" w:type="dxa"/>
              <w:left w:w="85" w:type="dxa"/>
              <w:bottom w:w="85" w:type="dxa"/>
              <w:right w:w="85" w:type="dxa"/>
            </w:tcMar>
          </w:tcPr>
          <w:p>
            <w:pPr>
              <w:spacing w:after="40" w:line="245" w:lineRule="auto"/>
            </w:pPr>
            <w:r>
              <w:rPr>
                <w:sz w:val="18"/>
              </w:rPr>
              <w:t>Provider or Antigravity interface changes</w:t>
            </w:r>
          </w:p>
        </w:tc>
        <w:tc>
          <w:tcPr>
            <w:tcW w:type="dxa" w:w="6725"/>
            <w:vAlign w:val="center"/>
            <w:shd w:fill="F1F5F8"/>
            <w:tcMar>
              <w:top w:w="85" w:type="dxa"/>
              <w:left w:w="85" w:type="dxa"/>
              <w:bottom w:w="85" w:type="dxa"/>
              <w:right w:w="85" w:type="dxa"/>
            </w:tcMar>
          </w:tcPr>
          <w:p>
            <w:pPr>
              <w:spacing w:after="40" w:line="245" w:lineRule="auto"/>
            </w:pPr>
            <w:r>
              <w:rPr>
                <w:sz w:val="18"/>
              </w:rPr>
              <w:t>Pin adapters and run capability contract tests; BA manual handoff fallback. Engineering.</w:t>
            </w:r>
          </w:p>
        </w:tc>
      </w:tr>
      <w:tr>
        <w:trPr>
          <w:cantSplit/>
        </w:trPr>
        <w:tc>
          <w:tcPr>
            <w:tcW w:type="dxa" w:w="3024"/>
            <w:vAlign w:val="center"/>
            <w:shd w:fill="FFFFFF"/>
            <w:tcMar>
              <w:top w:w="85" w:type="dxa"/>
              <w:left w:w="85" w:type="dxa"/>
              <w:bottom w:w="85" w:type="dxa"/>
              <w:right w:w="85" w:type="dxa"/>
            </w:tcMar>
          </w:tcPr>
          <w:p>
            <w:pPr>
              <w:spacing w:after="40" w:line="245" w:lineRule="auto"/>
            </w:pPr>
            <w:r>
              <w:rPr>
                <w:sz w:val="18"/>
              </w:rPr>
              <w:t>Incorrect or incomplete AI output</w:t>
            </w:r>
          </w:p>
        </w:tc>
        <w:tc>
          <w:tcPr>
            <w:tcW w:type="dxa" w:w="6725"/>
            <w:vAlign w:val="center"/>
            <w:shd w:fill="FFFFFF"/>
            <w:tcMar>
              <w:top w:w="85" w:type="dxa"/>
              <w:left w:w="85" w:type="dxa"/>
              <w:bottom w:w="85" w:type="dxa"/>
              <w:right w:w="85" w:type="dxa"/>
            </w:tcMar>
          </w:tcPr>
          <w:p>
            <w:pPr>
              <w:spacing w:after="40" w:line="245" w:lineRule="auto"/>
            </w:pPr>
            <w:r>
              <w:rPr>
                <w:sz w:val="18"/>
              </w:rPr>
              <w:t>Schema validation, independent QA, executable evidence and human gates. QA and Product.</w:t>
            </w:r>
          </w:p>
        </w:tc>
      </w:tr>
      <w:tr>
        <w:trPr>
          <w:cantSplit/>
        </w:trPr>
        <w:tc>
          <w:tcPr>
            <w:tcW w:type="dxa" w:w="3024"/>
            <w:vAlign w:val="center"/>
            <w:shd w:fill="F1F5F8"/>
            <w:tcMar>
              <w:top w:w="85" w:type="dxa"/>
              <w:left w:w="85" w:type="dxa"/>
              <w:bottom w:w="85" w:type="dxa"/>
              <w:right w:w="85" w:type="dxa"/>
            </w:tcMar>
          </w:tcPr>
          <w:p>
            <w:pPr>
              <w:spacing w:after="40" w:line="245" w:lineRule="auto"/>
            </w:pPr>
            <w:r>
              <w:rPr>
                <w:sz w:val="18"/>
              </w:rPr>
              <w:t>Conflicting code or stale approval</w:t>
            </w:r>
          </w:p>
        </w:tc>
        <w:tc>
          <w:tcPr>
            <w:tcW w:type="dxa" w:w="6725"/>
            <w:vAlign w:val="center"/>
            <w:shd w:fill="F1F5F8"/>
            <w:tcMar>
              <w:top w:w="85" w:type="dxa"/>
              <w:left w:w="85" w:type="dxa"/>
              <w:bottom w:w="85" w:type="dxa"/>
              <w:right w:w="85" w:type="dxa"/>
            </w:tcMar>
          </w:tcPr>
          <w:p>
            <w:pPr>
              <w:spacing w:after="40" w:line="245" w:lineRule="auto"/>
            </w:pPr>
            <w:r>
              <w:rPr>
                <w:sz w:val="18"/>
              </w:rPr>
              <w:t>Isolated branches, write leases, commit-bound approvals and conditional merge. Engineering.</w:t>
            </w:r>
          </w:p>
        </w:tc>
      </w:tr>
      <w:tr>
        <w:trPr>
          <w:cantSplit/>
        </w:trPr>
        <w:tc>
          <w:tcPr>
            <w:tcW w:type="dxa" w:w="3024"/>
            <w:vAlign w:val="center"/>
            <w:shd w:fill="FFFFFF"/>
            <w:tcMar>
              <w:top w:w="85" w:type="dxa"/>
              <w:left w:w="85" w:type="dxa"/>
              <w:bottom w:w="85" w:type="dxa"/>
              <w:right w:w="85" w:type="dxa"/>
            </w:tcMar>
          </w:tcPr>
          <w:p>
            <w:pPr>
              <w:spacing w:after="40" w:line="245" w:lineRule="auto"/>
            </w:pPr>
            <w:r>
              <w:rPr>
                <w:sz w:val="18"/>
              </w:rPr>
              <w:t>Runaway cost or repeated repair</w:t>
            </w:r>
          </w:p>
        </w:tc>
        <w:tc>
          <w:tcPr>
            <w:tcW w:type="dxa" w:w="6725"/>
            <w:vAlign w:val="center"/>
            <w:shd w:fill="FFFFFF"/>
            <w:tcMar>
              <w:top w:w="85" w:type="dxa"/>
              <w:left w:w="85" w:type="dxa"/>
              <w:bottom w:w="85" w:type="dxa"/>
              <w:right w:w="85" w:type="dxa"/>
            </w:tcMar>
          </w:tcPr>
          <w:p>
            <w:pPr>
              <w:spacing w:after="40" w:line="245" w:lineRule="auto"/>
            </w:pPr>
            <w:r>
              <w:rPr>
                <w:sz w:val="18"/>
              </w:rPr>
              <w:t>Reservations, bounded attempts, time limits and three-cycle intervention rule. Administration.</w:t>
            </w:r>
          </w:p>
        </w:tc>
      </w:tr>
      <w:tr>
        <w:trPr>
          <w:cantSplit/>
        </w:trPr>
        <w:tc>
          <w:tcPr>
            <w:tcW w:type="dxa" w:w="3024"/>
            <w:vAlign w:val="center"/>
            <w:shd w:fill="F1F5F8"/>
            <w:tcMar>
              <w:top w:w="85" w:type="dxa"/>
              <w:left w:w="85" w:type="dxa"/>
              <w:bottom w:w="85" w:type="dxa"/>
              <w:right w:w="85" w:type="dxa"/>
            </w:tcMar>
          </w:tcPr>
          <w:p>
            <w:pPr>
              <w:spacing w:after="40" w:line="245" w:lineRule="auto"/>
            </w:pPr>
            <w:r>
              <w:rPr>
                <w:sz w:val="18"/>
              </w:rPr>
              <w:t>Sensitive data or prompt injection</w:t>
            </w:r>
          </w:p>
        </w:tc>
        <w:tc>
          <w:tcPr>
            <w:tcW w:type="dxa" w:w="6725"/>
            <w:vAlign w:val="center"/>
            <w:shd w:fill="F1F5F8"/>
            <w:tcMar>
              <w:top w:w="85" w:type="dxa"/>
              <w:left w:w="85" w:type="dxa"/>
              <w:bottom w:w="85" w:type="dxa"/>
              <w:right w:w="85" w:type="dxa"/>
            </w:tcMar>
          </w:tcPr>
          <w:p>
            <w:pPr>
              <w:spacing w:after="40" w:line="245" w:lineRule="auto"/>
            </w:pPr>
            <w:r>
              <w:rPr>
                <w:sz w:val="18"/>
              </w:rPr>
              <w:t>Approved context manifests, secret redaction, broker enforcement and egress controls. Security.</w:t>
            </w:r>
          </w:p>
        </w:tc>
      </w:tr>
    </w:tbl>
    <w:p>
      <w:pPr>
        <w:spacing w:after="0"/>
      </w:pPr>
    </w:p>
    <w:p>
      <w:pPr>
        <w:pStyle w:val="Heading2"/>
      </w:pPr>
      <w:r>
        <w:t>Roadmap after the MVP</w:t>
      </w:r>
    </w:p>
    <w:p>
      <w:r>
        <w:t>Phase 2 adds supported native Antigravity handoffs, email/chat channels, reusable project templates, richer UX previews, evaluation datasets and optional issue synchronization. Phase 3 adds durable workflow-engine migration if scale warrants it, multiple repositories, policy-controlled staging deployment, enterprise identity and stronger separation of approval duties. Phase 4 considers artifact-bound production execution, organizational analytics and a reviewed integration catalog. No phase removes human production approval.</w:t>
      </w:r>
    </w:p>
    <w:p>
      <w:pPr>
        <w:pStyle w:val="Heading2"/>
      </w:pPr>
      <w:r>
        <w:t>Decisions required before pilot launch</w:t>
      </w:r>
    </w:p>
    <w:p>
      <w:r>
        <w:t>Product and engineering approve the pilot repository and eligible ticket types. Security approves hosting region, data classifications, provider processing terms and retention. Administration selects exact available model IDs, budgets, hardware capacity and credential methods. Release owners confirm who may approve deployment and how external evidence is recorded. These choices are configuration decisions; required gates and role boundaries remain fixed.</w:t>
      </w:r>
    </w:p>
    <w:p>
      <w:r>
        <w:t>Source baseline: AI Team Setup conversation supplied by the Product Lead, reviewed 28 September 2026. Proposed engineering defaults in this PRD are specified in detail in FRD version 1.0. Document approval records should include reviewer identity, date, version and any accepted deviations.</w:t>
      </w:r>
    </w:p>
    <w:sectPr w:rsidR="00FC693F" w:rsidRPr="0006063C" w:rsidSect="00034616">
      <w:footerReference w:type="default" r:id="rId9"/>
      <w:pgSz w:w="11909" w:h="16834"/>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PRD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Team Control Center PRD</dc:title>
  <dc:subject>PRD requirements baseline version 1.0</dc:subject>
  <dc:creator>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