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jc w:val="center"/>
      </w:pPr>
      <w:r>
        <w:rPr>
          <w:rFonts w:ascii="Times New Roman" w:hAnsi="Times New Roman"/>
          <w:color w:val="000000"/>
          <w:sz w:val="22"/>
        </w:rPr>
        <w:t>GTSRB Traffic-Sign Recognition</w:t>
      </w:r>
    </w:p>
    <w:p>
      <w:pPr>
        <w:jc w:val="center"/>
      </w:pPr>
      <w:r>
        <w:rPr>
          <w:rFonts w:ascii="Times New Roman" w:hAnsi="Times New Roman"/>
          <w:sz w:val="20"/>
        </w:rPr>
        <w:t>Akshit Mehta</w:t>
      </w:r>
    </w:p>
    <w:p/>
    <w:p>
      <w:pPr>
        <w:pStyle w:val="Heading1"/>
      </w:pPr>
      <w:r>
        <w:t>Abstract</w:t>
      </w:r>
    </w:p>
    <w:p>
      <w:r>
        <w:t>This report presents a reproducible TensorFlow/Keras pipeline for classifying the 43 categories in the German Traffic Sign Recognition Benchmark. The implementation downloads and verifies the full archive, analyzes its statistical structure, prepares grouped training and validation data, trains two neural architectures, evaluates the official test split, and exposes single-image prediction. A static dashboard and Colab notebook make the workflow easy to inspect and rerun.</w:t>
      </w:r>
    </w:p>
    <w:p>
      <w:pPr>
        <w:pStyle w:val="Heading1"/>
      </w:pPr>
      <w:r>
        <w:t>1. Introduction</w:t>
      </w:r>
    </w:p>
    <w:p>
      <w:r>
        <w:t>Traffic-sign recognition is a useful computer-vision benchmark because the classes are semantically meaningful yet visually similar. Signs can differ by shape, text, color, border, and symbol, while the captured images vary in illumination, viewpoint, scale, and background. A robust project therefore needs more than a model definition: it needs a trustworthy dataset boundary, leakage-aware validation, diagnostics, and clear reporting.</w:t>
      </w:r>
    </w:p>
    <w:p>
      <w:pPr>
        <w:pStyle w:val="Heading1"/>
      </w:pPr>
      <w:r>
        <w:t>2. Requirements and Scope</w:t>
      </w:r>
    </w:p>
    <w:p>
      <w:r>
        <w:t>The project targets classification of an already-cropped sign image. It does not locate signs in a full scene, issue driving instructions, or make safety-critical decisions. The implementation exposes model choice, image size, seed, epochs, batch size, learning rate, sample limits, and output directory through command-line options.</w:t>
      </w:r>
    </w:p>
    <w:p>
      <w:pPr>
        <w:pStyle w:val="Heading1"/>
      </w:pPr>
      <w:r>
        <w:t>3. Dataset</w:t>
      </w:r>
    </w:p>
    <w:p>
      <w:r>
        <w:t>The complete GTSRB classification archive is downloaded from the Zenodo record 13741936. The published MD5 checksum is verified before extraction. The extracted package contains the 39,209 labeled training images in class directories, the 12,630 official test images, and the test labels. All expected class IDs 0 through 42 are checked.</w:t>
      </w:r>
    </w:p>
    <w:tbl>
      <w:tblPr>
        <w:tblStyle w:val="TableGrid"/>
        <w:tblW w:type="dxa" w:w="4536"/>
        <w:jc w:val="center"/>
        <w:tblLayout w:type="fixed"/>
        <w:tblLook w:firstColumn="1" w:firstRow="1" w:lastColumn="0" w:lastRow="0" w:noHBand="0" w:noVBand="1" w:val="04A0"/>
      </w:tblPr>
      <w:tblGrid>
        <w:gridCol w:w="2268"/>
        <w:gridCol w:w="2268"/>
      </w:tblGrid>
      <w:tr>
        <w:tc>
          <w:tcPr>
            <w:tcW w:type="dxa" w:w="2268"/>
            <w:shd w:fill="173B57"/>
            <w:vAlign w:val="center"/>
          </w:tcPr>
          <w:p>
            <w:r/>
            <w:r>
              <w:rPr>
                <w:b/>
                <w:color w:val="FFFFFF"/>
                <w:sz w:val="18"/>
              </w:rPr>
              <w:t>Dataset property</w:t>
            </w:r>
          </w:p>
        </w:tc>
        <w:tc>
          <w:tcPr>
            <w:tcW w:type="dxa" w:w="2268"/>
            <w:shd w:fill="173B57"/>
            <w:vAlign w:val="center"/>
          </w:tcPr>
          <w:p>
            <w:r/>
            <w:r>
              <w:rPr>
                <w:b/>
                <w:color w:val="FFFFFF"/>
                <w:sz w:val="18"/>
              </w:rPr>
              <w:t>Value</w:t>
            </w:r>
          </w:p>
        </w:tc>
      </w:tr>
      <w:tr>
        <w:tc>
          <w:tcPr>
            <w:tcW w:type="dxa" w:w="2268"/>
            <w:vAlign w:val="center"/>
          </w:tcPr>
          <w:p>
            <w:r/>
            <w:r>
              <w:rPr>
                <w:b w:val="0"/>
                <w:color w:val="1F2937"/>
                <w:sz w:val="18"/>
              </w:rPr>
              <w:t>Training split</w:t>
            </w:r>
          </w:p>
        </w:tc>
        <w:tc>
          <w:tcPr>
            <w:tcW w:type="dxa" w:w="2268"/>
            <w:vAlign w:val="center"/>
          </w:tcPr>
          <w:p>
            <w:r/>
            <w:r>
              <w:rPr>
                <w:b w:val="0"/>
                <w:color w:val="1F2937"/>
                <w:sz w:val="18"/>
              </w:rPr>
              <w:t>39,209 images</w:t>
            </w:r>
          </w:p>
        </w:tc>
      </w:tr>
      <w:tr>
        <w:tc>
          <w:tcPr>
            <w:tcW w:type="dxa" w:w="2268"/>
            <w:vAlign w:val="center"/>
          </w:tcPr>
          <w:p>
            <w:r/>
            <w:r>
              <w:rPr>
                <w:b w:val="0"/>
                <w:color w:val="1F2937"/>
                <w:sz w:val="18"/>
              </w:rPr>
              <w:t>Official test split</w:t>
            </w:r>
          </w:p>
        </w:tc>
        <w:tc>
          <w:tcPr>
            <w:tcW w:type="dxa" w:w="2268"/>
            <w:vAlign w:val="center"/>
          </w:tcPr>
          <w:p>
            <w:r/>
            <w:r>
              <w:rPr>
                <w:b w:val="0"/>
                <w:color w:val="1F2937"/>
                <w:sz w:val="18"/>
              </w:rPr>
              <w:t>12,630 images</w:t>
            </w:r>
          </w:p>
        </w:tc>
      </w:tr>
      <w:tr>
        <w:tc>
          <w:tcPr>
            <w:tcW w:type="dxa" w:w="2268"/>
            <w:vAlign w:val="center"/>
          </w:tcPr>
          <w:p>
            <w:r/>
            <w:r>
              <w:rPr>
                <w:b w:val="0"/>
                <w:color w:val="1F2937"/>
                <w:sz w:val="18"/>
              </w:rPr>
              <w:t>Label space</w:t>
            </w:r>
          </w:p>
        </w:tc>
        <w:tc>
          <w:tcPr>
            <w:tcW w:type="dxa" w:w="2268"/>
            <w:vAlign w:val="center"/>
          </w:tcPr>
          <w:p>
            <w:r/>
            <w:r>
              <w:rPr>
                <w:b w:val="0"/>
                <w:color w:val="1F2937"/>
                <w:sz w:val="18"/>
              </w:rPr>
              <w:t>43 classes, IDs 0–42</w:t>
            </w:r>
          </w:p>
        </w:tc>
      </w:tr>
      <w:tr>
        <w:tc>
          <w:tcPr>
            <w:tcW w:type="dxa" w:w="2268"/>
            <w:vAlign w:val="center"/>
          </w:tcPr>
          <w:p>
            <w:r/>
            <w:r>
              <w:rPr>
                <w:b w:val="0"/>
                <w:color w:val="1F2937"/>
                <w:sz w:val="18"/>
              </w:rPr>
              <w:t>Training class minimum</w:t>
            </w:r>
          </w:p>
        </w:tc>
        <w:tc>
          <w:tcPr>
            <w:tcW w:type="dxa" w:w="2268"/>
            <w:vAlign w:val="center"/>
          </w:tcPr>
          <w:p>
            <w:r/>
            <w:r>
              <w:rPr>
                <w:b w:val="0"/>
                <w:color w:val="1F2937"/>
                <w:sz w:val="18"/>
              </w:rPr>
              <w:t>210 images</w:t>
            </w:r>
          </w:p>
        </w:tc>
      </w:tr>
      <w:tr>
        <w:tc>
          <w:tcPr>
            <w:tcW w:type="dxa" w:w="2268"/>
            <w:vAlign w:val="center"/>
          </w:tcPr>
          <w:p>
            <w:r/>
            <w:r>
              <w:rPr>
                <w:b w:val="0"/>
                <w:color w:val="1F2937"/>
                <w:sz w:val="18"/>
              </w:rPr>
              <w:t>Training class maximum</w:t>
            </w:r>
          </w:p>
        </w:tc>
        <w:tc>
          <w:tcPr>
            <w:tcW w:type="dxa" w:w="2268"/>
            <w:vAlign w:val="center"/>
          </w:tcPr>
          <w:p>
            <w:r/>
            <w:r>
              <w:rPr>
                <w:b w:val="0"/>
                <w:color w:val="1F2937"/>
                <w:sz w:val="18"/>
              </w:rPr>
              <w:t>2,250 images</w:t>
            </w:r>
          </w:p>
        </w:tc>
      </w:tr>
      <w:tr>
        <w:tc>
          <w:tcPr>
            <w:tcW w:type="dxa" w:w="2268"/>
            <w:vAlign w:val="center"/>
          </w:tcPr>
          <w:p>
            <w:r/>
            <w:r>
              <w:rPr>
                <w:b w:val="0"/>
                <w:color w:val="1F2937"/>
                <w:sz w:val="18"/>
              </w:rPr>
              <w:t>Archive integrity</w:t>
            </w:r>
          </w:p>
        </w:tc>
        <w:tc>
          <w:tcPr>
            <w:tcW w:type="dxa" w:w="2268"/>
            <w:vAlign w:val="center"/>
          </w:tcPr>
          <w:p>
            <w:r/>
            <w:r>
              <w:rPr>
                <w:b w:val="0"/>
                <w:color w:val="1F2937"/>
                <w:sz w:val="18"/>
              </w:rPr>
              <w:t>MD5 verified</w:t>
            </w:r>
          </w:p>
        </w:tc>
      </w:tr>
    </w:tbl>
    <w:p/>
    <w:p>
      <w:pPr>
        <w:jc w:val="center"/>
      </w:pPr>
      <w:r>
        <w:drawing>
          <wp:inline xmlns:a="http://schemas.openxmlformats.org/drawingml/2006/main" xmlns:pic="http://schemas.openxmlformats.org/drawingml/2006/picture">
            <wp:extent cx="2880360" cy="2880360"/>
            <wp:docPr id="1" name="Picture 1"/>
            <wp:cNvGraphicFramePr>
              <a:graphicFrameLocks noChangeAspect="1"/>
            </wp:cNvGraphicFramePr>
            <a:graphic>
              <a:graphicData uri="http://schemas.openxmlformats.org/drawingml/2006/picture">
                <pic:pic>
                  <pic:nvPicPr>
                    <pic:cNvPr id="0" name="sample_grid.png"/>
                    <pic:cNvPicPr/>
                  </pic:nvPicPr>
                  <pic:blipFill>
                    <a:blip r:embed="rId11"/>
                    <a:stretch>
                      <a:fillRect/>
                    </a:stretch>
                  </pic:blipFill>
                  <pic:spPr>
                    <a:xfrm>
                      <a:off x="0" y="0"/>
                      <a:ext cx="2880360" cy="2880360"/>
                    </a:xfrm>
                    <a:prstGeom prst="rect"/>
                  </pic:spPr>
                </pic:pic>
              </a:graphicData>
            </a:graphic>
          </wp:inline>
        </w:drawing>
      </w:r>
    </w:p>
    <w:p>
      <w:pPr>
        <w:jc w:val="center"/>
      </w:pPr>
      <w:r>
        <w:rPr>
          <w:i/>
          <w:sz w:val="18"/>
        </w:rPr>
        <w:t>Figure 1. Representative examples from the training set.</w:t>
      </w:r>
    </w:p>
    <w:p>
      <w:pPr>
        <w:jc w:val="center"/>
      </w:pPr>
      <w:r>
        <w:drawing>
          <wp:inline xmlns:a="http://schemas.openxmlformats.org/drawingml/2006/main" xmlns:pic="http://schemas.openxmlformats.org/drawingml/2006/picture">
            <wp:extent cx="2880360" cy="960120"/>
            <wp:docPr id="2" name="Picture 2"/>
            <wp:cNvGraphicFramePr>
              <a:graphicFrameLocks noChangeAspect="1"/>
            </wp:cNvGraphicFramePr>
            <a:graphic>
              <a:graphicData uri="http://schemas.openxmlformats.org/drawingml/2006/picture">
                <pic:pic>
                  <pic:nvPicPr>
                    <pic:cNvPr id="0" name="image_statistics.png"/>
                    <pic:cNvPicPr/>
                  </pic:nvPicPr>
                  <pic:blipFill>
                    <a:blip r:embed="rId12"/>
                    <a:stretch>
                      <a:fillRect/>
                    </a:stretch>
                  </pic:blipFill>
                  <pic:spPr>
                    <a:xfrm>
                      <a:off x="0" y="0"/>
                      <a:ext cx="2880360" cy="960120"/>
                    </a:xfrm>
                    <a:prstGeom prst="rect"/>
                  </pic:spPr>
                </pic:pic>
              </a:graphicData>
            </a:graphic>
          </wp:inline>
        </w:drawing>
      </w:r>
    </w:p>
    <w:p>
      <w:pPr>
        <w:jc w:val="center"/>
      </w:pPr>
      <w:r>
        <w:rPr>
          <w:i/>
          <w:sz w:val="18"/>
        </w:rPr>
        <w:t>Figure 2. Sampled image dimensions and brightness distributions.</w:t>
      </w:r>
    </w:p>
    <w:p>
      <w:pPr>
        <w:pStyle w:val="Heading1"/>
      </w:pPr>
      <w:r>
        <w:t>4. Exploratory Data Analysis</w:t>
      </w:r>
    </w:p>
    <w:p>
      <w:r>
        <w:t>The class distribution is uneven, so raw accuracy alone is insufficient. Macro F1 is reported alongside accuracy to give every class equal weight. Sampled image dimensions show that the source images are not uniform, which motivates consistent resizing. Brightness and RGB statistics confirm meaningful illumination and color variation.</w:t>
      </w:r>
    </w:p>
    <w:p>
      <w:pPr>
        <w:jc w:val="center"/>
      </w:pPr>
      <w:r>
        <w:drawing>
          <wp:inline xmlns:a="http://schemas.openxmlformats.org/drawingml/2006/main" xmlns:pic="http://schemas.openxmlformats.org/drawingml/2006/picture">
            <wp:extent cx="2880360" cy="1028700"/>
            <wp:docPr id="3" name="Picture 3"/>
            <wp:cNvGraphicFramePr>
              <a:graphicFrameLocks noChangeAspect="1"/>
            </wp:cNvGraphicFramePr>
            <a:graphic>
              <a:graphicData uri="http://schemas.openxmlformats.org/drawingml/2006/picture">
                <pic:pic>
                  <pic:nvPicPr>
                    <pic:cNvPr id="0" name="class_distribution.png"/>
                    <pic:cNvPicPr/>
                  </pic:nvPicPr>
                  <pic:blipFill>
                    <a:blip r:embed="rId13"/>
                    <a:stretch>
                      <a:fillRect/>
                    </a:stretch>
                  </pic:blipFill>
                  <pic:spPr>
                    <a:xfrm>
                      <a:off x="0" y="0"/>
                      <a:ext cx="2880360" cy="1028700"/>
                    </a:xfrm>
                    <a:prstGeom prst="rect"/>
                  </pic:spPr>
                </pic:pic>
              </a:graphicData>
            </a:graphic>
          </wp:inline>
        </w:drawing>
      </w:r>
    </w:p>
    <w:p>
      <w:pPr>
        <w:jc w:val="center"/>
      </w:pPr>
      <w:r>
        <w:rPr>
          <w:i/>
          <w:sz w:val="18"/>
        </w:rPr>
        <w:t>Figure 3. The 43-class training distribution.</w:t>
      </w:r>
    </w:p>
    <w:p>
      <w:pPr>
        <w:jc w:val="center"/>
      </w:pPr>
      <w:r>
        <w:drawing>
          <wp:inline xmlns:a="http://schemas.openxmlformats.org/drawingml/2006/main" xmlns:pic="http://schemas.openxmlformats.org/drawingml/2006/picture">
            <wp:extent cx="2880360" cy="1152144"/>
            <wp:docPr id="4" name="Picture 4"/>
            <wp:cNvGraphicFramePr>
              <a:graphicFrameLocks noChangeAspect="1"/>
            </wp:cNvGraphicFramePr>
            <a:graphic>
              <a:graphicData uri="http://schemas.openxmlformats.org/drawingml/2006/picture">
                <pic:pic>
                  <pic:nvPicPr>
                    <pic:cNvPr id="0" name="color_statistics.png"/>
                    <pic:cNvPicPr/>
                  </pic:nvPicPr>
                  <pic:blipFill>
                    <a:blip r:embed="rId14"/>
                    <a:stretch>
                      <a:fillRect/>
                    </a:stretch>
                  </pic:blipFill>
                  <pic:spPr>
                    <a:xfrm>
                      <a:off x="0" y="0"/>
                      <a:ext cx="2880360" cy="1152144"/>
                    </a:xfrm>
                    <a:prstGeom prst="rect"/>
                  </pic:spPr>
                </pic:pic>
              </a:graphicData>
            </a:graphic>
          </wp:inline>
        </w:drawing>
      </w:r>
    </w:p>
    <w:p>
      <w:pPr>
        <w:jc w:val="center"/>
      </w:pPr>
      <w:r>
        <w:rPr>
          <w:i/>
          <w:sz w:val="18"/>
        </w:rPr>
        <w:t>Figure 4. Mean RGB channel intensity over a 5,000-image sample.</w:t>
      </w:r>
    </w:p>
    <w:p>
      <w:pPr>
        <w:pStyle w:val="Heading1"/>
      </w:pPr>
      <w:r>
        <w:t>5. Data Preparation and Leakage Control</w:t>
      </w:r>
    </w:p>
    <w:p>
      <w:r>
        <w:t>The loader supports both the Zenodo package layout and the official GTSRB directory layout. Training labels are inferred from class directories; test labels are read from Test.csv. Related images are assigned sequence-like group identifiers derived from their source paths and grouped before the validation split. This reduces the chance that near-duplicate frames from the same sequence appear on both sides of validation.</w:t>
      </w:r>
    </w:p>
    <w:p>
      <w:r>
        <w:t>Images are resized and normalized to [0, 1]. The augmentation pipeline applies moderate rotation, translation, zoom, brightness, and contrast changes only during training. The official test set remains untouched until final evaluation.</w:t>
      </w:r>
    </w:p>
    <w:p>
      <w:pPr>
        <w:pStyle w:val="Heading1"/>
      </w:pPr>
      <w:r>
        <w:t>6. Models</w:t>
      </w:r>
    </w:p>
    <w:p>
      <w:pPr>
        <w:pStyle w:val="Heading2"/>
      </w:pPr>
      <w:r>
        <w:t>6.1 Custom CNN baseline</w:t>
      </w:r>
    </w:p>
    <w:p>
      <w:r>
        <w:t>The baseline uses stacked convolutional blocks with batch normalization, max pooling, dropout, and a dense classification head. It is intentionally compact so its behavior is easy to explain and its CPU smoke test is fast.</w:t>
      </w:r>
    </w:p>
    <w:p>
      <w:pPr>
        <w:pStyle w:val="Heading2"/>
      </w:pPr>
      <w:r>
        <w:t>6.2 MobileNetV2 comparison</w:t>
      </w:r>
    </w:p>
    <w:p>
      <w:r>
        <w:t>MobileNetV2 provides a lightweight transfer-learning architecture. The project supports pretrained ImageNet weights when available and a no-pretrained option for offline or smoke-test execution. Its depthwise-separable convolutions provide a useful accuracy/compute comparison with the custom baseline.</w:t>
      </w:r>
    </w:p>
    <w:p>
      <w:pPr>
        <w:pStyle w:val="Heading1"/>
      </w:pPr>
      <w:r>
        <w:t>7. Training Protocol</w:t>
      </w:r>
    </w:p>
    <w:tbl>
      <w:tblPr>
        <w:tblStyle w:val="TableGrid"/>
        <w:tblW w:type="dxa" w:w="4536"/>
        <w:jc w:val="center"/>
        <w:tblLayout w:type="fixed"/>
        <w:tblLook w:firstColumn="1" w:firstRow="1" w:lastColumn="0" w:lastRow="0" w:noHBand="0" w:noVBand="1" w:val="04A0"/>
      </w:tblPr>
      <w:tblGrid>
        <w:gridCol w:w="1512"/>
        <w:gridCol w:w="1512"/>
        <w:gridCol w:w="1512"/>
      </w:tblGrid>
      <w:tr>
        <w:tc>
          <w:tcPr>
            <w:tcW w:type="dxa" w:w="1512"/>
            <w:shd w:fill="173B57"/>
            <w:vAlign w:val="center"/>
          </w:tcPr>
          <w:p>
            <w:r/>
            <w:r>
              <w:rPr>
                <w:b/>
                <w:color w:val="FFFFFF"/>
                <w:sz w:val="18"/>
              </w:rPr>
              <w:t>Setting</w:t>
            </w:r>
          </w:p>
        </w:tc>
        <w:tc>
          <w:tcPr>
            <w:tcW w:type="dxa" w:w="1512"/>
            <w:shd w:fill="173B57"/>
            <w:vAlign w:val="center"/>
          </w:tcPr>
          <w:p>
            <w:r/>
            <w:r>
              <w:rPr>
                <w:b/>
                <w:color w:val="FFFFFF"/>
                <w:sz w:val="18"/>
              </w:rPr>
              <w:t>Custom CNN</w:t>
            </w:r>
          </w:p>
        </w:tc>
        <w:tc>
          <w:tcPr>
            <w:tcW w:type="dxa" w:w="1512"/>
            <w:shd w:fill="173B57"/>
            <w:vAlign w:val="center"/>
          </w:tcPr>
          <w:p>
            <w:r/>
            <w:r>
              <w:rPr>
                <w:b/>
                <w:color w:val="FFFFFF"/>
                <w:sz w:val="18"/>
              </w:rPr>
              <w:t>MobileNetV2</w:t>
            </w:r>
          </w:p>
        </w:tc>
      </w:tr>
      <w:tr>
        <w:tc>
          <w:tcPr>
            <w:tcW w:type="dxa" w:w="1512"/>
            <w:vAlign w:val="center"/>
          </w:tcPr>
          <w:p>
            <w:r/>
            <w:r>
              <w:rPr>
                <w:b w:val="0"/>
                <w:color w:val="1F2937"/>
                <w:sz w:val="18"/>
              </w:rPr>
              <w:t>Input size</w:t>
            </w:r>
          </w:p>
        </w:tc>
        <w:tc>
          <w:tcPr>
            <w:tcW w:type="dxa" w:w="1512"/>
            <w:vAlign w:val="center"/>
          </w:tcPr>
          <w:p>
            <w:r/>
            <w:r>
              <w:rPr>
                <w:b w:val="0"/>
                <w:color w:val="1F2937"/>
                <w:sz w:val="18"/>
              </w:rPr>
              <w:t>64 × 64</w:t>
            </w:r>
          </w:p>
        </w:tc>
        <w:tc>
          <w:tcPr>
            <w:tcW w:type="dxa" w:w="1512"/>
            <w:vAlign w:val="center"/>
          </w:tcPr>
          <w:p>
            <w:r/>
            <w:r>
              <w:rPr>
                <w:b w:val="0"/>
                <w:color w:val="1F2937"/>
                <w:sz w:val="18"/>
              </w:rPr>
              <w:t>96 × 96</w:t>
            </w:r>
          </w:p>
        </w:tc>
      </w:tr>
      <w:tr>
        <w:tc>
          <w:tcPr>
            <w:tcW w:type="dxa" w:w="1512"/>
            <w:vAlign w:val="center"/>
          </w:tcPr>
          <w:p>
            <w:r/>
            <w:r>
              <w:rPr>
                <w:b w:val="0"/>
                <w:color w:val="1F2937"/>
                <w:sz w:val="18"/>
              </w:rPr>
              <w:t>Seed</w:t>
            </w:r>
          </w:p>
        </w:tc>
        <w:tc>
          <w:tcPr>
            <w:tcW w:type="dxa" w:w="1512"/>
            <w:vAlign w:val="center"/>
          </w:tcPr>
          <w:p>
            <w:r/>
            <w:r>
              <w:rPr>
                <w:b w:val="0"/>
                <w:color w:val="1F2937"/>
                <w:sz w:val="18"/>
              </w:rPr>
              <w:t>42</w:t>
            </w:r>
          </w:p>
        </w:tc>
        <w:tc>
          <w:tcPr>
            <w:tcW w:type="dxa" w:w="1512"/>
            <w:vAlign w:val="center"/>
          </w:tcPr>
          <w:p>
            <w:r/>
            <w:r>
              <w:rPr>
                <w:b w:val="0"/>
                <w:color w:val="1F2937"/>
                <w:sz w:val="18"/>
              </w:rPr>
              <w:t>42</w:t>
            </w:r>
          </w:p>
        </w:tc>
      </w:tr>
      <w:tr>
        <w:tc>
          <w:tcPr>
            <w:tcW w:type="dxa" w:w="1512"/>
            <w:vAlign w:val="center"/>
          </w:tcPr>
          <w:p>
            <w:r/>
            <w:r>
              <w:rPr>
                <w:b w:val="0"/>
                <w:color w:val="1F2937"/>
                <w:sz w:val="18"/>
              </w:rPr>
              <w:t>Epochs in recorded run</w:t>
            </w:r>
          </w:p>
        </w:tc>
        <w:tc>
          <w:tcPr>
            <w:tcW w:type="dxa" w:w="1512"/>
            <w:vAlign w:val="center"/>
          </w:tcPr>
          <w:p>
            <w:r/>
            <w:r>
              <w:rPr>
                <w:b w:val="0"/>
                <w:color w:val="1F2937"/>
                <w:sz w:val="18"/>
              </w:rPr>
              <w:t>3</w:t>
            </w:r>
          </w:p>
        </w:tc>
        <w:tc>
          <w:tcPr>
            <w:tcW w:type="dxa" w:w="1512"/>
            <w:vAlign w:val="center"/>
          </w:tcPr>
          <w:p>
            <w:r/>
            <w:r>
              <w:rPr>
                <w:b w:val="0"/>
                <w:color w:val="1F2937"/>
                <w:sz w:val="18"/>
              </w:rPr>
              <w:t>1</w:t>
            </w:r>
          </w:p>
        </w:tc>
      </w:tr>
      <w:tr>
        <w:tc>
          <w:tcPr>
            <w:tcW w:type="dxa" w:w="1512"/>
            <w:vAlign w:val="center"/>
          </w:tcPr>
          <w:p>
            <w:r/>
            <w:r>
              <w:rPr>
                <w:b w:val="0"/>
                <w:color w:val="1F2937"/>
                <w:sz w:val="18"/>
              </w:rPr>
              <w:t>Batch size</w:t>
            </w:r>
          </w:p>
        </w:tc>
        <w:tc>
          <w:tcPr>
            <w:tcW w:type="dxa" w:w="1512"/>
            <w:vAlign w:val="center"/>
          </w:tcPr>
          <w:p>
            <w:r/>
            <w:r>
              <w:rPr>
                <w:b w:val="0"/>
                <w:color w:val="1F2937"/>
                <w:sz w:val="18"/>
              </w:rPr>
              <w:t>128</w:t>
            </w:r>
          </w:p>
        </w:tc>
        <w:tc>
          <w:tcPr>
            <w:tcW w:type="dxa" w:w="1512"/>
            <w:vAlign w:val="center"/>
          </w:tcPr>
          <w:p>
            <w:r/>
            <w:r>
              <w:rPr>
                <w:b w:val="0"/>
                <w:color w:val="1F2937"/>
                <w:sz w:val="18"/>
              </w:rPr>
              <w:t>128</w:t>
            </w:r>
          </w:p>
        </w:tc>
      </w:tr>
      <w:tr>
        <w:tc>
          <w:tcPr>
            <w:tcW w:type="dxa" w:w="1512"/>
            <w:vAlign w:val="center"/>
          </w:tcPr>
          <w:p>
            <w:r/>
            <w:r>
              <w:rPr>
                <w:b w:val="0"/>
                <w:color w:val="1F2937"/>
                <w:sz w:val="18"/>
              </w:rPr>
              <w:t>Validation</w:t>
            </w:r>
          </w:p>
        </w:tc>
        <w:tc>
          <w:tcPr>
            <w:tcW w:type="dxa" w:w="1512"/>
            <w:vAlign w:val="center"/>
          </w:tcPr>
          <w:p>
            <w:r/>
            <w:r>
              <w:rPr>
                <w:b w:val="0"/>
                <w:color w:val="1F2937"/>
                <w:sz w:val="18"/>
              </w:rPr>
              <w:t>Grouped split</w:t>
            </w:r>
          </w:p>
        </w:tc>
        <w:tc>
          <w:tcPr>
            <w:tcW w:type="dxa" w:w="1512"/>
            <w:vAlign w:val="center"/>
          </w:tcPr>
          <w:p>
            <w:r/>
            <w:r>
              <w:rPr>
                <w:b w:val="0"/>
                <w:color w:val="1F2937"/>
                <w:sz w:val="18"/>
              </w:rPr>
              <w:t>Grouped split</w:t>
            </w:r>
          </w:p>
        </w:tc>
      </w:tr>
      <w:tr>
        <w:tc>
          <w:tcPr>
            <w:tcW w:type="dxa" w:w="1512"/>
            <w:vAlign w:val="center"/>
          </w:tcPr>
          <w:p>
            <w:r/>
            <w:r>
              <w:rPr>
                <w:b w:val="0"/>
                <w:color w:val="1F2937"/>
                <w:sz w:val="18"/>
              </w:rPr>
              <w:t>Callbacks</w:t>
            </w:r>
          </w:p>
        </w:tc>
        <w:tc>
          <w:tcPr>
            <w:tcW w:type="dxa" w:w="1512"/>
            <w:vAlign w:val="center"/>
          </w:tcPr>
          <w:p>
            <w:r/>
            <w:r>
              <w:rPr>
                <w:b w:val="0"/>
                <w:color w:val="1F2937"/>
                <w:sz w:val="18"/>
              </w:rPr>
              <w:t>Early stopping, LR reduction, checkpoint</w:t>
            </w:r>
          </w:p>
        </w:tc>
        <w:tc>
          <w:tcPr>
            <w:tcW w:type="dxa" w:w="1512"/>
            <w:vAlign w:val="center"/>
          </w:tcPr>
          <w:p>
            <w:r/>
            <w:r>
              <w:rPr>
                <w:b w:val="0"/>
                <w:color w:val="1F2937"/>
                <w:sz w:val="18"/>
              </w:rPr>
              <w:t>Early stopping, LR reduction, checkpoint</w:t>
            </w:r>
          </w:p>
        </w:tc>
      </w:tr>
    </w:tbl>
    <w:p/>
    <w:p>
      <w:r>
        <w:t>Each run saves the best Keras model, a JSON history, training curves, a classification report, and a confusion matrix under artifacts/models. Repeated execution is deterministic at the seed and data-split level, subject to TensorFlow and hardware determinism.</w:t>
      </w:r>
    </w:p>
    <w:p>
      <w:pPr>
        <w:jc w:val="center"/>
      </w:pPr>
      <w:r>
        <w:drawing>
          <wp:inline xmlns:a="http://schemas.openxmlformats.org/drawingml/2006/main" xmlns:pic="http://schemas.openxmlformats.org/drawingml/2006/picture">
            <wp:extent cx="2880360" cy="960120"/>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5"/>
                    <a:stretch>
                      <a:fillRect/>
                    </a:stretch>
                  </pic:blipFill>
                  <pic:spPr>
                    <a:xfrm>
                      <a:off x="0" y="0"/>
                      <a:ext cx="2880360" cy="960120"/>
                    </a:xfrm>
                    <a:prstGeom prst="rect"/>
                  </pic:spPr>
                </pic:pic>
              </a:graphicData>
            </a:graphic>
          </wp:inline>
        </w:drawing>
      </w:r>
    </w:p>
    <w:p>
      <w:pPr>
        <w:jc w:val="center"/>
      </w:pPr>
      <w:r>
        <w:rPr>
          <w:i/>
          <w:sz w:val="18"/>
        </w:rPr>
        <w:t>Figure 5. Custom CNN training and validation curves.</w:t>
      </w:r>
    </w:p>
    <w:p>
      <w:pPr>
        <w:jc w:val="center"/>
      </w:pPr>
      <w:r>
        <w:drawing>
          <wp:inline xmlns:a="http://schemas.openxmlformats.org/drawingml/2006/main" xmlns:pic="http://schemas.openxmlformats.org/drawingml/2006/picture">
            <wp:extent cx="2880360" cy="960120"/>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6"/>
                    <a:stretch>
                      <a:fillRect/>
                    </a:stretch>
                  </pic:blipFill>
                  <pic:spPr>
                    <a:xfrm>
                      <a:off x="0" y="0"/>
                      <a:ext cx="2880360" cy="960120"/>
                    </a:xfrm>
                    <a:prstGeom prst="rect"/>
                  </pic:spPr>
                </pic:pic>
              </a:graphicData>
            </a:graphic>
          </wp:inline>
        </w:drawing>
      </w:r>
    </w:p>
    <w:p>
      <w:pPr>
        <w:jc w:val="center"/>
      </w:pPr>
      <w:r>
        <w:rPr>
          <w:i/>
          <w:sz w:val="18"/>
        </w:rPr>
        <w:t>Figure 6. MobileNetV2 training and validation curves.</w:t>
      </w:r>
    </w:p>
    <w:p>
      <w:pPr>
        <w:pStyle w:val="Heading1"/>
      </w:pPr>
      <w:r>
        <w:t>8. Results</w:t>
      </w:r>
    </w:p>
    <w:tbl>
      <w:tblPr>
        <w:tblStyle w:val="TableGrid"/>
        <w:tblW w:type="dxa" w:w="4536"/>
        <w:jc w:val="center"/>
        <w:tblLayout w:type="fixed"/>
        <w:tblLook w:firstColumn="1" w:firstRow="1" w:lastColumn="0" w:lastRow="0" w:noHBand="0" w:noVBand="1" w:val="04A0"/>
      </w:tblPr>
      <w:tblGrid>
        <w:gridCol w:w="1512"/>
        <w:gridCol w:w="1512"/>
        <w:gridCol w:w="1512"/>
      </w:tblGrid>
      <w:tr>
        <w:tc>
          <w:tcPr>
            <w:tcW w:type="dxa" w:w="1512"/>
            <w:shd w:fill="173B57"/>
            <w:vAlign w:val="center"/>
          </w:tcPr>
          <w:p>
            <w:r/>
            <w:r>
              <w:rPr>
                <w:b/>
                <w:color w:val="FFFFFF"/>
                <w:sz w:val="18"/>
              </w:rPr>
              <w:t>Model</w:t>
            </w:r>
          </w:p>
        </w:tc>
        <w:tc>
          <w:tcPr>
            <w:tcW w:type="dxa" w:w="1512"/>
            <w:shd w:fill="173B57"/>
            <w:vAlign w:val="center"/>
          </w:tcPr>
          <w:p>
            <w:r/>
            <w:r>
              <w:rPr>
                <w:b/>
                <w:color w:val="FFFFFF"/>
                <w:sz w:val="18"/>
              </w:rPr>
              <w:t>Test accuracy</w:t>
            </w:r>
          </w:p>
        </w:tc>
        <w:tc>
          <w:tcPr>
            <w:tcW w:type="dxa" w:w="1512"/>
            <w:shd w:fill="173B57"/>
            <w:vAlign w:val="center"/>
          </w:tcPr>
          <w:p>
            <w:r/>
            <w:r>
              <w:rPr>
                <w:b/>
                <w:color w:val="FFFFFF"/>
                <w:sz w:val="18"/>
              </w:rPr>
              <w:t>Macro F1</w:t>
            </w:r>
          </w:p>
        </w:tc>
      </w:tr>
      <w:tr>
        <w:tc>
          <w:tcPr>
            <w:tcW w:type="dxa" w:w="1512"/>
            <w:vAlign w:val="center"/>
          </w:tcPr>
          <w:p>
            <w:r/>
            <w:r>
              <w:rPr>
                <w:b w:val="0"/>
                <w:color w:val="1F2937"/>
                <w:sz w:val="18"/>
              </w:rPr>
              <w:t>Custom Cnn</w:t>
            </w:r>
          </w:p>
        </w:tc>
        <w:tc>
          <w:tcPr>
            <w:tcW w:type="dxa" w:w="1512"/>
            <w:vAlign w:val="center"/>
          </w:tcPr>
          <w:p>
            <w:r/>
            <w:r>
              <w:rPr>
                <w:b w:val="0"/>
                <w:color w:val="1F2937"/>
                <w:sz w:val="18"/>
              </w:rPr>
              <w:t>51.75%</w:t>
            </w:r>
          </w:p>
        </w:tc>
        <w:tc>
          <w:tcPr>
            <w:tcW w:type="dxa" w:w="1512"/>
            <w:vAlign w:val="center"/>
          </w:tcPr>
          <w:p>
            <w:r/>
            <w:r>
              <w:rPr>
                <w:b w:val="0"/>
                <w:color w:val="1F2937"/>
                <w:sz w:val="18"/>
              </w:rPr>
              <w:t>36.44%</w:t>
            </w:r>
          </w:p>
        </w:tc>
      </w:tr>
      <w:tr>
        <w:tc>
          <w:tcPr>
            <w:tcW w:type="dxa" w:w="1512"/>
            <w:vAlign w:val="center"/>
          </w:tcPr>
          <w:p>
            <w:r/>
            <w:r>
              <w:rPr>
                <w:b w:val="0"/>
                <w:color w:val="1F2937"/>
                <w:sz w:val="18"/>
              </w:rPr>
              <w:t>Mobilenet V2</w:t>
            </w:r>
          </w:p>
        </w:tc>
        <w:tc>
          <w:tcPr>
            <w:tcW w:type="dxa" w:w="1512"/>
            <w:vAlign w:val="center"/>
          </w:tcPr>
          <w:p>
            <w:r/>
            <w:r>
              <w:rPr>
                <w:b w:val="0"/>
                <w:color w:val="1F2937"/>
                <w:sz w:val="18"/>
              </w:rPr>
              <w:t>53.09%</w:t>
            </w:r>
          </w:p>
        </w:tc>
        <w:tc>
          <w:tcPr>
            <w:tcW w:type="dxa" w:w="1512"/>
            <w:vAlign w:val="center"/>
          </w:tcPr>
          <w:p>
            <w:r/>
            <w:r>
              <w:rPr>
                <w:b w:val="0"/>
                <w:color w:val="1F2937"/>
                <w:sz w:val="18"/>
              </w:rPr>
              <w:t>42.24%</w:t>
            </w:r>
          </w:p>
        </w:tc>
      </w:tr>
    </w:tbl>
    <w:p/>
    <w:p>
      <w:r>
        <w:t>In these recorded full-data demonstration runs, MobileNetV2 is ahead of the custom CNN on both reported measures. The comparison is informative but not a claim of maximum achievable performance because the runs use different epoch budgets and were intentionally kept practical on CPU. A fair final benchmark should train both models for a matched budget on GPU.</w:t>
      </w:r>
    </w:p>
    <w:p>
      <w:pPr>
        <w:jc w:val="center"/>
      </w:pPr>
      <w:r>
        <w:drawing>
          <wp:inline xmlns:a="http://schemas.openxmlformats.org/drawingml/2006/main" xmlns:pic="http://schemas.openxmlformats.org/drawingml/2006/picture">
            <wp:extent cx="2880360" cy="144018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7"/>
                    <a:stretch>
                      <a:fillRect/>
                    </a:stretch>
                  </pic:blipFill>
                  <pic:spPr>
                    <a:xfrm>
                      <a:off x="0" y="0"/>
                      <a:ext cx="2880360" cy="1440180"/>
                    </a:xfrm>
                    <a:prstGeom prst="rect"/>
                  </pic:spPr>
                </pic:pic>
              </a:graphicData>
            </a:graphic>
          </wp:inline>
        </w:drawing>
      </w:r>
    </w:p>
    <w:p>
      <w:pPr>
        <w:jc w:val="center"/>
      </w:pPr>
      <w:r>
        <w:rPr>
          <w:i/>
          <w:sz w:val="18"/>
        </w:rPr>
        <w:t>Figure 7. Test accuracy and macro F1 comparison.</w:t>
      </w:r>
    </w:p>
    <w:p>
      <w:pPr>
        <w:jc w:val="center"/>
      </w:pPr>
      <w:r>
        <w:drawing>
          <wp:inline xmlns:a="http://schemas.openxmlformats.org/drawingml/2006/main" xmlns:pic="http://schemas.openxmlformats.org/drawingml/2006/picture">
            <wp:extent cx="2880360" cy="2400300"/>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8"/>
                    <a:stretch>
                      <a:fillRect/>
                    </a:stretch>
                  </pic:blipFill>
                  <pic:spPr>
                    <a:xfrm>
                      <a:off x="0" y="0"/>
                      <a:ext cx="2880360" cy="2400300"/>
                    </a:xfrm>
                    <a:prstGeom prst="rect"/>
                  </pic:spPr>
                </pic:pic>
              </a:graphicData>
            </a:graphic>
          </wp:inline>
        </w:drawing>
      </w:r>
    </w:p>
    <w:p>
      <w:pPr>
        <w:jc w:val="center"/>
      </w:pPr>
      <w:r>
        <w:rPr>
          <w:i/>
          <w:sz w:val="18"/>
        </w:rPr>
        <w:t>Figure 8. Custom CNN confusion matrix.</w:t>
      </w:r>
    </w:p>
    <w:p>
      <w:pPr>
        <w:jc w:val="center"/>
      </w:pPr>
      <w:r>
        <w:drawing>
          <wp:inline xmlns:a="http://schemas.openxmlformats.org/drawingml/2006/main" xmlns:pic="http://schemas.openxmlformats.org/drawingml/2006/picture">
            <wp:extent cx="2880360" cy="2400300"/>
            <wp:docPr id="9" name="Picture 9"/>
            <wp:cNvGraphicFramePr>
              <a:graphicFrameLocks noChangeAspect="1"/>
            </wp:cNvGraphicFramePr>
            <a:graphic>
              <a:graphicData uri="http://schemas.openxmlformats.org/drawingml/2006/picture">
                <pic:pic>
                  <pic:nvPicPr>
                    <pic:cNvPr id="0" name="confusion_matrix.png"/>
                    <pic:cNvPicPr/>
                  </pic:nvPicPr>
                  <pic:blipFill>
                    <a:blip r:embed="rId19"/>
                    <a:stretch>
                      <a:fillRect/>
                    </a:stretch>
                  </pic:blipFill>
                  <pic:spPr>
                    <a:xfrm>
                      <a:off x="0" y="0"/>
                      <a:ext cx="2880360" cy="2400300"/>
                    </a:xfrm>
                    <a:prstGeom prst="rect"/>
                  </pic:spPr>
                </pic:pic>
              </a:graphicData>
            </a:graphic>
          </wp:inline>
        </w:drawing>
      </w:r>
    </w:p>
    <w:p>
      <w:pPr>
        <w:jc w:val="center"/>
      </w:pPr>
      <w:r>
        <w:rPr>
          <w:i/>
          <w:sz w:val="18"/>
        </w:rPr>
        <w:t>Figure 9. MobileNetV2 confusion matrix.</w:t>
      </w:r>
    </w:p>
    <w:p>
      <w:pPr>
        <w:pStyle w:val="Heading1"/>
      </w:pPr>
      <w:r>
        <w:t>9. Error Analysis and Limitations</w:t>
      </w:r>
    </w:p>
    <w:p>
      <w:r>
        <w:t>The confusion matrices and per-class reports expose which signs remain difficult to separate. Likely sources include visually similar speed-limit classes, class imbalance, small or blurred signs, and the short demonstration training budgets. The pipeline does not yet include class-balanced loss, systematic hyperparameter search, calibration, test-time augmentation, or human review of mislabeled examples.</w:t>
      </w:r>
    </w:p>
    <w:p>
      <w:r>
        <w:t>The classifier assumes a cropped sign image. It should not be used as a standalone driving or safety system. A deployment-oriented extension would require object detection, temporal smoothing, uncertainty thresholds, out-of-distribution checks, and extensive testing under real-world conditions.</w:t>
      </w:r>
    </w:p>
    <w:p>
      <w:pPr>
        <w:pStyle w:val="Heading1"/>
      </w:pPr>
      <w:r>
        <w:t>10. Reproducibility and Usage</w:t>
      </w:r>
    </w:p>
    <w:p>
      <w:pPr>
        <w:pStyle w:val="ListBullet"/>
      </w:pPr>
      <w:r>
        <w:t>python scripts/download_dataset.py</w:t>
      </w:r>
    </w:p>
    <w:p>
      <w:pPr>
        <w:pStyle w:val="ListBullet"/>
      </w:pPr>
      <w:r>
        <w:t>python scripts/run_eda.py</w:t>
      </w:r>
    </w:p>
    <w:p>
      <w:pPr>
        <w:pStyle w:val="ListBullet"/>
      </w:pPr>
      <w:r>
        <w:t>python -m traffic_sign_recognition.train --model custom_cnn</w:t>
      </w:r>
    </w:p>
    <w:p>
      <w:pPr>
        <w:pStyle w:val="ListBullet"/>
      </w:pPr>
      <w:r>
        <w:t>python -m traffic_sign_recognition.train --model mobilenet_v2</w:t>
      </w:r>
    </w:p>
    <w:p>
      <w:pPr>
        <w:pStyle w:val="ListBullet"/>
      </w:pPr>
      <w:r>
        <w:t>python -m traffic_sign_recognition.evaluate --model-path artifacts/models/mobilenet_v2/model.keras</w:t>
      </w:r>
    </w:p>
    <w:p>
      <w:pPr>
        <w:pStyle w:val="ListBullet"/>
      </w:pPr>
      <w:r>
        <w:t>python -m traffic_sign_recognition.predict --model-path artifacts/models/mobilenet_v2/model.keras --image path/to/sign.png</w:t>
      </w:r>
    </w:p>
    <w:p>
      <w:pPr>
        <w:pStyle w:val="Heading1"/>
      </w:pPr>
      <w:r>
        <w:t>11. Conclusion and Future Work</w:t>
      </w:r>
    </w:p>
    <w:p>
      <w:r>
        <w:t>The project demonstrates a complete and auditable traffic-sign recognition workflow: the source archive is verified, data assumptions are visualized, two models are trained, results are measured, and inference is packaged for reuse. Future work should use matched multi-epoch GPU training, class-aware sampling or loss functions, richer error analysis, and a detector-plus-classifier system for full road scenes.</w:t>
      </w:r>
    </w:p>
    <w:p>
      <w:pPr>
        <w:pStyle w:val="Heading1"/>
      </w:pPr>
      <w:r>
        <w:t>References</w:t>
      </w:r>
    </w:p>
    <w:p>
      <w:r>
        <w:t>Stallkamp, J., Schlipsing, M., Salmen, J., and Igel, C. (2011). The German Traffic Sign Recognition Benchmark: A multi-class classification competition. Proceedings of IJCNN.</w:t>
      </w:r>
    </w:p>
    <w:p>
      <w:r>
        <w:t>GTSRB public dataset distribution and Zenodo mirror: https://zenodo.org/records/13741936</w:t>
      </w:r>
    </w:p>
    <w:p>
      <w:r>
        <w:t>TensorFlow/Keras documentation: https://www.tensorflow.org/</w:t>
      </w:r>
    </w:p>
    <w:sectPr w:rsidR="00FC693F" w:rsidRPr="0006063C" w:rsidSect="00034616">
      <w:headerReference w:type="default" r:id="rId9"/>
      <w:footerReference w:type="default" r:id="rId10"/>
      <w:pgSz w:w="12240" w:h="15840"/>
      <w:pgMar w:top="936" w:right="1008" w:bottom="936" w:left="1008"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MAIT Mini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000000"/>
        <w:sz w:val="16"/>
      </w:rPr>
      <w:t>GTSRB Traffic Sign Recognition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eastAsia="Times New Roman"/>
      <w:b/>
      <w:bCs/>
      <w: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before="12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GTSRB Traffic Sign Recognition Project Report</dc:title>
  <dc:subject>GTSRB traffic-sign image classification</dc:subject>
  <dc:creator>MAIT Mini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