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D30B" w14:textId="77777777" w:rsidR="0070276D" w:rsidRDefault="00000000">
      <w:pPr>
        <w:pStyle w:val="papertitle"/>
        <w:spacing w:before="100" w:after="100"/>
        <w:ind w:left="1440" w:firstLine="720"/>
        <w:jc w:val="both"/>
      </w:pPr>
      <w:r>
        <w:t>Hybrid AI Services for the Bristol Regional Food Network Digital Marketplace</w:t>
      </w:r>
    </w:p>
    <w:p w14:paraId="6BBAF049" w14:textId="77777777" w:rsidR="0070276D" w:rsidRDefault="00000000">
      <w:pPr>
        <w:pStyle w:val="Author"/>
        <w:spacing w:before="100" w:after="100" w:line="120" w:lineRule="auto"/>
        <w:rPr>
          <w:sz w:val="16"/>
          <w:szCs w:val="16"/>
        </w:rPr>
      </w:pPr>
      <w:r>
        <w:t>Josh James</w:t>
      </w:r>
    </w:p>
    <w:p w14:paraId="7DA10F8F" w14:textId="77777777" w:rsidR="0070276D" w:rsidRDefault="0070276D">
      <w:pPr>
        <w:pStyle w:val="Author"/>
        <w:spacing w:before="100" w:after="100" w:line="120" w:lineRule="auto"/>
        <w:rPr>
          <w:sz w:val="16"/>
          <w:szCs w:val="16"/>
        </w:rPr>
      </w:pPr>
    </w:p>
    <w:p w14:paraId="26DEE8A5" w14:textId="77777777" w:rsidR="0070276D" w:rsidRDefault="0070276D">
      <w:pPr>
        <w:sectPr w:rsidR="0070276D">
          <w:footerReference w:type="default" r:id="rId7"/>
          <w:footerReference w:type="first" r:id="rId8"/>
          <w:pgSz w:w="11906" w:h="16838"/>
          <w:pgMar w:top="540" w:right="893" w:bottom="1440" w:left="893" w:header="0" w:footer="720" w:gutter="0"/>
          <w:cols w:space="720"/>
          <w:formProt w:val="0"/>
          <w:titlePg/>
          <w:docGrid w:linePitch="360"/>
        </w:sectPr>
      </w:pPr>
    </w:p>
    <w:p w14:paraId="508FD9FB" w14:textId="77777777" w:rsidR="0070276D" w:rsidRDefault="00000000">
      <w:pPr>
        <w:pStyle w:val="Author"/>
        <w:spacing w:before="100"/>
        <w:rPr>
          <w:sz w:val="18"/>
          <w:szCs w:val="18"/>
        </w:rPr>
      </w:pPr>
      <w:r>
        <w:t>Philip Thompson</w:t>
      </w:r>
    </w:p>
    <w:p w14:paraId="39AA5C6F" w14:textId="77777777" w:rsidR="0070276D" w:rsidRDefault="0070276D">
      <w:pPr>
        <w:pStyle w:val="Author"/>
        <w:spacing w:before="100"/>
        <w:rPr>
          <w:sz w:val="18"/>
          <w:szCs w:val="18"/>
        </w:rPr>
      </w:pPr>
    </w:p>
    <w:p w14:paraId="57A8D787" w14:textId="77777777" w:rsidR="0070276D" w:rsidRDefault="00000000">
      <w:pPr>
        <w:pStyle w:val="Author"/>
        <w:spacing w:before="100"/>
        <w:rPr>
          <w:sz w:val="18"/>
          <w:szCs w:val="18"/>
        </w:rPr>
      </w:pPr>
      <w:r>
        <w:t>Group Project Team</w:t>
      </w:r>
    </w:p>
    <w:p w14:paraId="036141A5" w14:textId="77777777" w:rsidR="0070276D" w:rsidRDefault="0070276D">
      <w:pPr>
        <w:pStyle w:val="Author"/>
        <w:spacing w:before="100"/>
        <w:rPr>
          <w:sz w:val="18"/>
          <w:szCs w:val="18"/>
        </w:rPr>
      </w:pPr>
    </w:p>
    <w:p w14:paraId="45200420" w14:textId="77777777" w:rsidR="0070276D" w:rsidRDefault="00000000">
      <w:pPr>
        <w:pStyle w:val="Author"/>
        <w:spacing w:before="100"/>
        <w:rPr>
          <w:sz w:val="18"/>
          <w:szCs w:val="18"/>
        </w:rPr>
      </w:pPr>
      <w:r>
        <w:t>UWE Bristol</w:t>
      </w:r>
    </w:p>
    <w:p w14:paraId="784B0767" w14:textId="77777777" w:rsidR="0070276D" w:rsidRDefault="0070276D">
      <w:pPr>
        <w:pStyle w:val="Author"/>
        <w:spacing w:before="100"/>
        <w:rPr>
          <w:rFonts w:eastAsia="Times New Roman"/>
          <w:sz w:val="18"/>
          <w:szCs w:val="18"/>
        </w:rPr>
      </w:pPr>
    </w:p>
    <w:p w14:paraId="7167FB11" w14:textId="77777777" w:rsidR="0070276D" w:rsidRDefault="0070276D">
      <w:pPr>
        <w:sectPr w:rsidR="0070276D">
          <w:type w:val="continuous"/>
          <w:pgSz w:w="11906" w:h="16838"/>
          <w:pgMar w:top="540" w:right="893" w:bottom="1440" w:left="893" w:header="0" w:footer="720" w:gutter="0"/>
          <w:cols w:num="3" w:space="720"/>
          <w:formProt w:val="0"/>
          <w:titlePg/>
          <w:docGrid w:linePitch="360"/>
        </w:sectPr>
      </w:pPr>
    </w:p>
    <w:p w14:paraId="3D17B6BC" w14:textId="77777777" w:rsidR="0070276D" w:rsidRDefault="0070276D"/>
    <w:p w14:paraId="51CA1201" w14:textId="77777777" w:rsidR="0070276D" w:rsidRDefault="00000000">
      <w:pPr>
        <w:pStyle w:val="BodyText"/>
        <w:sectPr w:rsidR="0070276D">
          <w:type w:val="continuous"/>
          <w:pgSz w:w="11906" w:h="16838"/>
          <w:pgMar w:top="540" w:right="893" w:bottom="1440" w:left="893" w:header="0" w:footer="720" w:gutter="0"/>
          <w:cols w:num="3" w:space="720"/>
          <w:formProt w:val="0"/>
          <w:titlePg/>
          <w:docGrid w:linePitch="360"/>
        </w:sectPr>
      </w:pPr>
      <w:r>
        <w:t xml:space="preserve">Abstract—This paper presents a hybrid AI solution for the Bristol Regional Food Network case study. The implemented system combines two complementary services. Task 1 provides a Django-based digital marketplace with role-based access for customers, producers, managers, </w:t>
      </w:r>
      <w:r>
        <w:t xml:space="preserve">and AI engineers, and integrates a hybrid recommendation model for quick re-order support. Task 2 provides a computer vision pipeline that classifies fruit and vegetable images as fresh or rotten and, for fresh items, applies an explainable grading layer that outputs </w:t>
      </w:r>
      <w:proofErr w:type="spellStart"/>
      <w:r>
        <w:t>colour</w:t>
      </w:r>
      <w:proofErr w:type="spellEnd"/>
      <w:r>
        <w:t xml:space="preserve">, size, and ripeness scores, a grade, </w:t>
      </w:r>
      <w:r>
        <w:t>and an inventory action. Together, the two tasks address the case study’s main goals of improving ordering efficiency, automating quality checks, and supporting explainability within a deployable service-oriented architecture.</w:t>
      </w:r>
    </w:p>
    <w:p w14:paraId="502183AF" w14:textId="77777777" w:rsidR="0070276D" w:rsidRDefault="00000000">
      <w:pPr>
        <w:pStyle w:val="Keywords"/>
        <w:ind w:firstLine="0"/>
      </w:pPr>
      <w:r>
        <w:t>Keywords—hybrid AI, recommender systems, computer vision, explainable AI, digital marketplace, food inventory</w:t>
      </w:r>
    </w:p>
    <w:p w14:paraId="30C5A9D1" w14:textId="77777777" w:rsidR="0070276D" w:rsidRDefault="00000000">
      <w:pPr>
        <w:pStyle w:val="Heading1"/>
        <w:rPr>
          <w:highlight w:val="yellow"/>
        </w:rPr>
      </w:pPr>
      <w:r>
        <w:t>I. Introduction</w:t>
      </w:r>
    </w:p>
    <w:p w14:paraId="2A107737" w14:textId="77777777" w:rsidR="0070276D" w:rsidRDefault="00000000">
      <w:pPr>
        <w:pStyle w:val="BodyText"/>
      </w:pPr>
      <w:r>
        <w:t>The Bristol Regional Food Network case study requires AI services that can improve ordering and inventory management without replacing the wider marketplace platform. The uploaded project therefore separates the problem into two linked components. The first component focuses on intelligent ordering and user interaction inside a Django web application. The second component focuses on produce inspection using computer vision and exposes the trained model through a lightweight API. This split is sensible because recommendation and visual quality inspection have different data types, pipelines, and operational needs.</w:t>
      </w:r>
    </w:p>
    <w:p w14:paraId="54BA4CF9" w14:textId="77777777" w:rsidR="0070276D" w:rsidRDefault="00000000">
      <w:pPr>
        <w:pStyle w:val="Heading1"/>
        <w:rPr>
          <w:highlight w:val="yellow"/>
        </w:rPr>
      </w:pPr>
      <w:r>
        <w:t>II. Literature Review</w:t>
      </w:r>
    </w:p>
    <w:p w14:paraId="0A27DE0D" w14:textId="77777777" w:rsidR="0070276D" w:rsidRDefault="00000000">
      <w:pPr>
        <w:pStyle w:val="Heading2"/>
        <w:ind w:left="0" w:firstLine="0"/>
      </w:pPr>
      <w:r>
        <w:t>A. Candidate AI Approaches</w:t>
      </w:r>
    </w:p>
    <w:p w14:paraId="367E5A49" w14:textId="77777777" w:rsidR="0070276D" w:rsidRDefault="00000000">
      <w:pPr>
        <w:pStyle w:val="BodyText"/>
      </w:pPr>
      <w:r>
        <w:t xml:space="preserve">For the recommendation problem, purely rule-based approaches are simple to explain but weak at discovering non-obvious patterns across many users and products. Collaborative filtering methods, including latent-factor approaches such as matrix </w:t>
      </w:r>
      <w:proofErr w:type="spellStart"/>
      <w:r>
        <w:t>factorisation</w:t>
      </w:r>
      <w:proofErr w:type="spellEnd"/>
      <w:r>
        <w:t xml:space="preserve">, are better suited to learning preference structure from user-item interactions. However, collaborative signals alone can suffer from sparsity and do not directly model short-term reorder </w:t>
      </w:r>
      <w:proofErr w:type="spellStart"/>
      <w:r>
        <w:t>behaviour</w:t>
      </w:r>
      <w:proofErr w:type="spellEnd"/>
      <w:r>
        <w:t>. A hybrid strategy is therefore appropriate: latent factors can capture broad taste similarity, while a supervised model can predict whether a previously purchased item is likely to be reordered.</w:t>
      </w:r>
    </w:p>
    <w:p w14:paraId="285A79E3" w14:textId="77777777" w:rsidR="0070276D" w:rsidRDefault="00000000">
      <w:pPr>
        <w:pStyle w:val="BodyText"/>
        <w:ind w:left="288" w:hanging="288"/>
      </w:pPr>
      <w:r>
        <w:t xml:space="preserve">For quality inspection, classical image-processing methods are fast and interpretable but often struggle with changes in lighting, angle, and background. Convolutional neural networks are much better at learning robust visual features from produce images. Transfer learning is especially attractive in this project because it reduces training </w:t>
      </w:r>
      <w:proofErr w:type="gramStart"/>
      <w:r>
        <w:t>cost</w:t>
      </w:r>
      <w:proofErr w:type="gramEnd"/>
      <w:r>
        <w:t xml:space="preserve"> and allows a compact model to perform well even when the available training images are narrower than those used in large industrial datasets.</w:t>
      </w:r>
    </w:p>
    <w:p w14:paraId="3202CB5D" w14:textId="77777777" w:rsidR="0070276D" w:rsidRDefault="00000000">
      <w:pPr>
        <w:pStyle w:val="BodyText"/>
        <w:rPr>
          <w:highlight w:val="yellow"/>
        </w:rPr>
      </w:pPr>
      <w:r>
        <w:t>Explainability is also central to the case study. The assessment materials explicitly require transparency and trust, especially for administrative users and inventory decisions. The implemented solution addresses this in two different ways. In Task 1, the recommendation output stores intermediate factors such as a frequency score, an SVD score, and a Random Forest score before combining them into a final ranking. In Task 2, the system explains outcomes through quality sub-scores, grade thresholds, action recommendations, and explicit textual reasons. This is not full post-hoc explainability, but it is practical, user-facing, and aligned with the brief.</w:t>
      </w:r>
    </w:p>
    <w:p w14:paraId="304076B8" w14:textId="77777777" w:rsidR="0070276D" w:rsidRDefault="00000000">
      <w:pPr>
        <w:pStyle w:val="Heading1"/>
        <w:rPr>
          <w:rFonts w:eastAsia="Times New Roman"/>
        </w:rPr>
      </w:pPr>
      <w:r>
        <w:t>III. Materials and Methods</w:t>
      </w:r>
    </w:p>
    <w:p w14:paraId="341732B5" w14:textId="77777777" w:rsidR="0070276D" w:rsidRDefault="00000000">
      <w:pPr>
        <w:pStyle w:val="Heading2"/>
        <w:numPr>
          <w:ilvl w:val="0"/>
          <w:numId w:val="0"/>
        </w:numPr>
        <w:ind w:left="288"/>
      </w:pPr>
      <w:r>
        <w:t>A. Task 1: Marketplace and Recommendation Service</w:t>
      </w:r>
    </w:p>
    <w:p w14:paraId="790116A1" w14:textId="77777777" w:rsidR="0070276D" w:rsidRDefault="00000000">
      <w:pPr>
        <w:pStyle w:val="BodyText"/>
        <w:rPr>
          <w:highlight w:val="yellow"/>
        </w:rPr>
      </w:pPr>
      <w:r>
        <w:t xml:space="preserve">Task 1 is implemented as a Django web application with separate apps for users, products, producers, basket, orders, managers, customers, and AI engineers. The user model is extended through a </w:t>
      </w:r>
      <w:proofErr w:type="spellStart"/>
      <w:r>
        <w:t>UserProfile</w:t>
      </w:r>
      <w:proofErr w:type="spellEnd"/>
      <w:r>
        <w:t xml:space="preserve"> role field that supports customer, producer, manager, and AI engineer access. Product records include price, stock, category, seasonality, discount state, and surplus fields, allowing the platform to represent real marketplace constraints rather than a simple catalogue. The architecture therefore supports both routine e-commerce </w:t>
      </w:r>
      <w:proofErr w:type="spellStart"/>
      <w:r>
        <w:t>behaviour</w:t>
      </w:r>
      <w:proofErr w:type="spellEnd"/>
      <w:r>
        <w:t xml:space="preserve"> and producer-specific operational decisions.</w:t>
      </w:r>
    </w:p>
    <w:p w14:paraId="39CE0644" w14:textId="77777777" w:rsidR="0070276D" w:rsidRDefault="00000000">
      <w:pPr>
        <w:pStyle w:val="BodyText"/>
        <w:rPr>
          <w:rFonts w:eastAsia="Times New Roman"/>
        </w:rPr>
      </w:pPr>
      <w:r>
        <w:t xml:space="preserve">The recommendation pipeline is trained from CSV order data containing 3,026 rows. During loading, the code validates required columns, converts dates and numeric fields, </w:t>
      </w:r>
      <w:proofErr w:type="spellStart"/>
      <w:r>
        <w:t>normalises</w:t>
      </w:r>
      <w:proofErr w:type="spellEnd"/>
      <w:r>
        <w:t xml:space="preserve"> user and product identifiers, and filters to </w:t>
      </w:r>
      <w:proofErr w:type="gramStart"/>
      <w:r>
        <w:t>fulfilled</w:t>
      </w:r>
      <w:proofErr w:type="gramEnd"/>
      <w:r>
        <w:t xml:space="preserve"> orders, producing 2,330 usable rows covering 80 users and 26 products. A user-item matrix is then built from aggregated product quantities. The latent-factor component applies </w:t>
      </w:r>
      <w:proofErr w:type="spellStart"/>
      <w:r>
        <w:t>TruncatedSVD</w:t>
      </w:r>
      <w:proofErr w:type="spellEnd"/>
      <w:r>
        <w:t xml:space="preserve"> with 20 components to this matrix, producing user and item factor vectors whose dot product yields a per-pair affinity score. The supervised component engineers fourteen user-product features: label-encoded user and product identifiers, previous same-product order count, cumulative and average quantity for that product, days since the last same-product order, total prior orders and items for the user, cumulative user quantity, product-level global popularity, category, producer, price per unit, and current quantity. These features train a </w:t>
      </w:r>
      <w:proofErr w:type="spellStart"/>
      <w:r>
        <w:t>RandomForestClassifier</w:t>
      </w:r>
      <w:proofErr w:type="spellEnd"/>
      <w:r>
        <w:t xml:space="preserve"> </w:t>
      </w:r>
      <w:r>
        <w:lastRenderedPageBreak/>
        <w:t>(</w:t>
      </w:r>
      <w:proofErr w:type="spellStart"/>
      <w:r>
        <w:t>n_estimators</w:t>
      </w:r>
      <w:proofErr w:type="spellEnd"/>
      <w:r>
        <w:t xml:space="preserve">=250, </w:t>
      </w:r>
      <w:proofErr w:type="spellStart"/>
      <w:r>
        <w:t>max_depth</w:t>
      </w:r>
      <w:proofErr w:type="spellEnd"/>
      <w:r>
        <w:t xml:space="preserve">=12, </w:t>
      </w:r>
      <w:proofErr w:type="spellStart"/>
      <w:r>
        <w:t>min_samples_split</w:t>
      </w:r>
      <w:proofErr w:type="spellEnd"/>
      <w:r>
        <w:t xml:space="preserve">=5, </w:t>
      </w:r>
      <w:proofErr w:type="spellStart"/>
      <w:r>
        <w:t>min_samples_leaf</w:t>
      </w:r>
      <w:proofErr w:type="spellEnd"/>
      <w:r>
        <w:t xml:space="preserve">=2, </w:t>
      </w:r>
      <w:proofErr w:type="spellStart"/>
      <w:r>
        <w:t>class_weight</w:t>
      </w:r>
      <w:proofErr w:type="spellEnd"/>
      <w:proofErr w:type="gramStart"/>
      <w:r>
        <w:t>=“</w:t>
      </w:r>
      <w:proofErr w:type="gramEnd"/>
      <w:r>
        <w:t xml:space="preserve">balanced”) to predict whether a user will reorder a given product, using an 80/20 stratified train-test split. The code computes a classification report and ROC-AUC score on the held-out fold. Both SVD and Random Forest scores are min-max </w:t>
      </w:r>
      <w:proofErr w:type="spellStart"/>
      <w:r>
        <w:t>normalised</w:t>
      </w:r>
      <w:proofErr w:type="spellEnd"/>
      <w:r>
        <w:t xml:space="preserve"> and combined as </w:t>
      </w:r>
      <w:proofErr w:type="spellStart"/>
      <w:r>
        <w:t>final_score</w:t>
      </w:r>
      <w:proofErr w:type="spellEnd"/>
      <w:r>
        <w:t xml:space="preserve"> = 0.6 × </w:t>
      </w:r>
      <w:proofErr w:type="spellStart"/>
      <w:r>
        <w:t>svd_score</w:t>
      </w:r>
      <w:proofErr w:type="spellEnd"/>
      <w:r>
        <w:t xml:space="preserve"> + 0.4 × </w:t>
      </w:r>
      <w:proofErr w:type="spellStart"/>
      <w:r>
        <w:t>rf_score</w:t>
      </w:r>
      <w:proofErr w:type="spellEnd"/>
      <w:r>
        <w:t>. A non-</w:t>
      </w:r>
      <w:proofErr w:type="spellStart"/>
      <w:r>
        <w:t>personalised</w:t>
      </w:r>
      <w:proofErr w:type="spellEnd"/>
      <w:r>
        <w:t xml:space="preserve"> bestseller baseline ranked by total quantity is also generated for cold-start users and for comparison, and the system exports the top five recommendations per user.</w:t>
      </w:r>
    </w:p>
    <w:p w14:paraId="2FD32836" w14:textId="77777777" w:rsidR="0070276D" w:rsidRDefault="00000000">
      <w:pPr>
        <w:pStyle w:val="Heading2"/>
        <w:ind w:left="0" w:firstLine="0"/>
      </w:pPr>
      <w:r>
        <w:t>B. Task 2: Computer Vision and Grading Service</w:t>
      </w:r>
    </w:p>
    <w:p w14:paraId="52BA5A5C" w14:textId="77777777" w:rsidR="0070276D" w:rsidRDefault="00000000">
      <w:pPr>
        <w:pStyle w:val="BodyText"/>
      </w:pPr>
      <w:r>
        <w:t xml:space="preserve">Task 2 is implemented as a standalone machine-learning service. A dataset cleaning script merges the original multi-class folder structure into a binary dataset with fresh and rotten directories, renaming files with UUIDs to avoid collisions. The training script uses an </w:t>
      </w:r>
      <w:proofErr w:type="spellStart"/>
      <w:r>
        <w:t>ImageDataGenerator</w:t>
      </w:r>
      <w:proofErr w:type="spellEnd"/>
      <w:r>
        <w:t xml:space="preserve"> with 1/255 rescaling and a 0.2 validation </w:t>
      </w:r>
      <w:proofErr w:type="gramStart"/>
      <w:r>
        <w:t>split, and</w:t>
      </w:r>
      <w:proofErr w:type="gramEnd"/>
      <w:r>
        <w:t xml:space="preserve"> trains a MobileNetV2-based binary classifier on 224×224 RGB images for five epochs with a batch size of 32. Transfer learning is used by freezing the ImageNet-pretrained base and training a classification head of GlobalAveragePooling2D, a </w:t>
      </w:r>
      <w:proofErr w:type="gramStart"/>
      <w:r>
        <w:t>Dense(</w:t>
      </w:r>
      <w:proofErr w:type="gramEnd"/>
      <w:r>
        <w:t xml:space="preserve">128, </w:t>
      </w:r>
      <w:proofErr w:type="spellStart"/>
      <w:r>
        <w:t>ReLU</w:t>
      </w:r>
      <w:proofErr w:type="spellEnd"/>
      <w:r>
        <w:t xml:space="preserve">) hidden layer, and a </w:t>
      </w:r>
      <w:proofErr w:type="gramStart"/>
      <w:r>
        <w:t>Dense(</w:t>
      </w:r>
      <w:proofErr w:type="gramEnd"/>
      <w:r>
        <w:t>1, sigmoid) output, compiled with Adam and binary cross-entropy loss [3, 5].</w:t>
      </w:r>
    </w:p>
    <w:p w14:paraId="522964D8" w14:textId="77777777" w:rsidR="0070276D" w:rsidRDefault="00000000">
      <w:pPr>
        <w:pStyle w:val="BodyText"/>
      </w:pPr>
      <w:r>
        <w:t xml:space="preserve">After freshness prediction, a second decision layer grades fresh produce using heuristic quality measures. </w:t>
      </w:r>
      <w:proofErr w:type="spellStart"/>
      <w:r>
        <w:t>Colour</w:t>
      </w:r>
      <w:proofErr w:type="spellEnd"/>
      <w:r>
        <w:t xml:space="preserve"> score is computed from the mean HSV saturation and brightness as (0.6 × saturation + 0.4 × brightness) / 180 × 100. Size score estimates total contour area after Otsu thresholding relative to image area, scaled by 150 and capped at 100. Ripeness score maps the model’s freshness probability directly to a 0–100 scale. Items scoring at least 80 on all three metrics receive grade A (sell at full price); at least 65 on all three yields grade B (apply discount); below these thresholds yields grade C (manual review). Rotten items bypass grading entirely and are flagged for removal from inventory. Each prediction is logged to a CSV file with timestamp, probabilities, grade, and action for future monitoring, and the grading module generates an explicit textual explanation referencing each sub-score and its threshold.</w:t>
      </w:r>
    </w:p>
    <w:p w14:paraId="190EA21D" w14:textId="77777777" w:rsidR="0070276D" w:rsidRDefault="00000000">
      <w:pPr>
        <w:pStyle w:val="Heading2"/>
      </w:pPr>
      <w:r>
        <w:t>C. Deployment and Integration</w:t>
      </w:r>
    </w:p>
    <w:p w14:paraId="616DFEBC" w14:textId="77777777" w:rsidR="0070276D" w:rsidRDefault="00000000">
      <w:pPr>
        <w:pStyle w:val="BodyText"/>
      </w:pPr>
      <w:r>
        <w:t>The two tasks are designed as services rather than monolithic notebooks. Task 1 exposes AI functions through an AI engineer dashboard inside Django, allowing a privileged user to trigger model training and inspect summary outputs. Task 2 exposes a Flask endpoint at /predict that accepts an uploaded image and returns JSON containing the label, probabilities, quality scores, grade, action, and explanation. This architecture is appropriate for the module because it demonstrates how separate AI components could be integrated into a wider DESD marketplace while still being trained and evaluated outside the main web application.</w:t>
      </w:r>
    </w:p>
    <w:p w14:paraId="53D26815" w14:textId="77777777" w:rsidR="0070276D" w:rsidRDefault="00000000">
      <w:pPr>
        <w:pStyle w:val="Heading1"/>
      </w:pPr>
      <w:r>
        <w:t>IV. Results and Discussion</w:t>
      </w:r>
    </w:p>
    <w:p w14:paraId="49EFDC26" w14:textId="77777777" w:rsidR="0070276D" w:rsidRDefault="00000000">
      <w:pPr>
        <w:pStyle w:val="Heading2"/>
        <w:rPr>
          <w:i w:val="0"/>
        </w:rPr>
      </w:pPr>
      <w:r>
        <w:t>A. Recommendation Service Findings</w:t>
      </w:r>
    </w:p>
    <w:p w14:paraId="11DD7493" w14:textId="77777777" w:rsidR="0070276D" w:rsidRDefault="00000000">
      <w:pPr>
        <w:pStyle w:val="BodyText"/>
        <w:rPr>
          <w:highlight w:val="yellow"/>
        </w:rPr>
      </w:pPr>
      <w:r>
        <w:t>The Task 1 summary file shows that the recommendation model was trained from 2,330 fulfilled order rows covering 80 users and 26 products. The generated recommendation file contains five ranked products per user, producing 400 recommendation rows overall. Each row preserves frequency, SVD, Random Forest, and final scores, making the ranking transparent. The code also produces a bestseller baseline ranking all 26 products by total quantity; dairy products (Yoghurt, Whole Milk, Cheese) dominate the top positions, followed by bakery and preserves. This baseline serves as a cold-start fallback for new users and as a non-</w:t>
      </w:r>
      <w:proofErr w:type="spellStart"/>
      <w:r>
        <w:t>personalised</w:t>
      </w:r>
      <w:proofErr w:type="spellEnd"/>
      <w:r>
        <w:t xml:space="preserve"> reference against which the hybrid model’s </w:t>
      </w:r>
      <w:proofErr w:type="spellStart"/>
      <w:r>
        <w:t>personalisation</w:t>
      </w:r>
      <w:proofErr w:type="spellEnd"/>
      <w:r>
        <w:t xml:space="preserve"> can be qualitatively compared. The Random Forest component is evaluated internally with a stratified 80/20 split, and the training script prints a classification report and ROC-AUC score for the reorder prediction target; however, these metrics </w:t>
      </w:r>
      <w:proofErr w:type="gramStart"/>
      <w:r>
        <w:t>were not persisted</w:t>
      </w:r>
      <w:proofErr w:type="gramEnd"/>
      <w:r>
        <w:t xml:space="preserve"> to a file in the repository, which limits reproducible reporting.</w:t>
      </w:r>
    </w:p>
    <w:p w14:paraId="77CDEBEA" w14:textId="77777777" w:rsidR="0070276D" w:rsidRDefault="00000000">
      <w:pPr>
        <w:pStyle w:val="BodyText"/>
        <w:rPr>
          <w:highlight w:val="yellow"/>
        </w:rPr>
      </w:pPr>
      <w:r>
        <w:t>The main weakness is evaluation depth. The repository does not include a formal offline recommendation report comparable to the computer vision metrics, so it is harder to judge ranking quality rigorously. Even so, the pipeline design is appropriate for the problem because it combines long-term preference structure with short-term reorder prediction, which fits the case study emphasis on convenient repeat ordering.</w:t>
      </w:r>
    </w:p>
    <w:p w14:paraId="31E058E9" w14:textId="77777777" w:rsidR="0070276D" w:rsidRDefault="00000000">
      <w:pPr>
        <w:pStyle w:val="Heading2"/>
        <w:rPr>
          <w:highlight w:val="yellow"/>
        </w:rPr>
      </w:pPr>
      <w:r>
        <w:t>B. Computer Vision Findings</w:t>
      </w:r>
    </w:p>
    <w:p w14:paraId="06BFA183" w14:textId="77777777" w:rsidR="0070276D" w:rsidRDefault="00000000">
      <w:pPr>
        <w:pStyle w:val="BodyText"/>
        <w:rPr>
          <w:highlight w:val="yellow"/>
        </w:rPr>
      </w:pPr>
      <w:r>
        <w:t xml:space="preserve">Task 2 includes a stronger formal evaluation. The saved metrics report an accuracy of 0.9786, precision of 0.9680, recall of 0.9922, and F1-score of 0.9800. The classification report shows similarly strong performance for both classes, with fresh items achieving an F1-score of 0.98 across 2,749 validation examples and rotten items achieving an F1-score of 0.98 across 3,081 examples. The confusion matrix confirms 2,648 true-positive fresh predictions and 3,057 true-positive rotten predictions, with 101 fresh items misclassified as rotten and only 24 rotten items misclassified as fresh. The low false-negative rate for rotten produce is operationally important because it means very few spoiled items would reach customers. The training curve shows training accuracy rising from approximately 0.935 to above 0.99 over five epochs, while validation accuracy plateaus near 0.979 from epoch three onward, suggesting mild overfitting in later epochs that has not yet degraded </w:t>
      </w:r>
      <w:proofErr w:type="spellStart"/>
      <w:r>
        <w:t>generalisation</w:t>
      </w:r>
      <w:proofErr w:type="spellEnd"/>
      <w:r>
        <w:t>. These results indicate that the freshness classifier is effective for the uploaded dataset and suitable as the first stage of an automated quality workflow.</w:t>
      </w:r>
    </w:p>
    <w:p w14:paraId="00A3E148" w14:textId="77777777" w:rsidR="0070276D" w:rsidRDefault="00000000">
      <w:pPr>
        <w:pStyle w:val="BodyText"/>
      </w:pPr>
      <w:r>
        <w:t>The additional grading layer improves usefulness beyond a simple binary label. Instead of only predicting fresh or rotten, the service provides a more operational output that can drive pricing and inventory decisions. This is important because the case study requires value for producers, not only a classification score. The presence of textual explanations, thresholds, and action recommendations also strengthens trust and makes the system easier to demonstrate to both technical and non-technical audiences.</w:t>
      </w:r>
    </w:p>
    <w:p w14:paraId="2A062D99" w14:textId="77777777" w:rsidR="0070276D" w:rsidRDefault="00000000">
      <w:pPr>
        <w:pStyle w:val="Heading1"/>
      </w:pPr>
      <w:r>
        <w:lastRenderedPageBreak/>
        <w:t>V. Technical Challenges or Limitations</w:t>
      </w:r>
    </w:p>
    <w:p w14:paraId="4A100107" w14:textId="77777777" w:rsidR="0070276D" w:rsidRDefault="00000000">
      <w:pPr>
        <w:pStyle w:val="BodyText"/>
      </w:pPr>
      <w:r>
        <w:t xml:space="preserve">Several limitations remain. First, the computer vision evaluation uses the validation subset as a temporary test proxy rather than </w:t>
      </w:r>
      <w:proofErr w:type="gramStart"/>
      <w:r>
        <w:t>a completely separate</w:t>
      </w:r>
      <w:proofErr w:type="gramEnd"/>
      <w:r>
        <w:t xml:space="preserve"> held-out test set, so the reported performance may be slightly optimistic. Second, the grading stage is heuristic rather than learned from labelled quality targets; although this improves explainability, it may not align perfectly with real producer preferences. Third, Task 1 and Task 2 are only lightly coupled at repository level: the marketplace architecture clearly prepares for integration, but the uploaded code does not yet show a deep production link between the Django interface and the Flask vision service.</w:t>
      </w:r>
    </w:p>
    <w:p w14:paraId="63044298" w14:textId="77777777" w:rsidR="0070276D" w:rsidRDefault="00000000">
      <w:pPr>
        <w:pStyle w:val="BodyText"/>
        <w:rPr>
          <w:highlight w:val="yellow"/>
        </w:rPr>
      </w:pPr>
      <w:r>
        <w:t xml:space="preserve">There are also software engineering limitations. Task 1 contains both basket and orders apps with overlapping Order models, suggesting design duplication during development. The repository README describes a PostgreSQL and Docker Compose setup, but the active Django settings still reference a local SQLite database, which would cause deployment inconsistency if the Docker configuration were used without an environment-variable </w:t>
      </w:r>
      <w:proofErr w:type="gramStart"/>
      <w:r>
        <w:t>override</w:t>
      </w:r>
      <w:proofErr w:type="gramEnd"/>
      <w:r>
        <w:t>. All Django test files remain at boilerplate level with no written test cases, so automated regression testing is absent. Monitoring is basic: prediction logging exists in Task 2, but there is no feedback loop that retrains models when users override recommendations or when quality decisions are corrected manually.</w:t>
      </w:r>
    </w:p>
    <w:p w14:paraId="357BA9AB" w14:textId="77777777" w:rsidR="0070276D" w:rsidRDefault="00000000">
      <w:pPr>
        <w:pStyle w:val="BodyText"/>
      </w:pPr>
      <w:r>
        <w:t>From a legal and ethical perspective, the system handles personal order data including usernames, addresses, and postcodes. If deployed, compliance with the UK Data Protection Act 2018 and UK GDPR would require a lawful basis for processing, a retention policy, and transparent privacy notices. The recommendation model could in principle reinforce purchasing biases by repeatedly suggesting the same products, reducing exposure to new producers; adding diversity-aware re-ranking would mitigate this. For the computer vision service, fairness considerations are less acute because the model classifies produce rather than people, but accountability for incorrect grading decisions—such as wrongly labelling fresh produce as rotten—would need clear human-in-the-loop policies before the system could influence real inventory removal. The explainability features in both tasks partly address the Fairness, Accountability, and Trust requirements of the brief, but production use would require audit logging and clearer governance over automated decisions.</w:t>
      </w:r>
    </w:p>
    <w:p w14:paraId="6428E6E7" w14:textId="77777777" w:rsidR="0070276D" w:rsidRDefault="00000000">
      <w:pPr>
        <w:pStyle w:val="Heading1"/>
      </w:pPr>
      <w:r>
        <w:t>VI. Conclusion</w:t>
      </w:r>
    </w:p>
    <w:p w14:paraId="102F0755" w14:textId="77777777" w:rsidR="0070276D" w:rsidRDefault="00000000">
      <w:pPr>
        <w:pStyle w:val="BodyText"/>
      </w:pPr>
      <w:r>
        <w:t>Overall, the uploaded work provides a credible hybrid AI solution for the Bristol Regional Food Network case study. Task 1 addresses customer convenience and marketplace integration through a role-based Django system and a hybrid recommender. Task 2 addresses producer-side quality inspection through transfer learning, rule-based grading, and an API-ready inference service. The strongest aspect of the project is that it does not treat AI as an isolated model: both tasks are framed as deployable services that support a realistic digital marketplace. The most important next steps would be deeper cross-service integration, stronger recommendation evaluation, and more robust monitoring using real user and producer feedback.</w:t>
      </w:r>
    </w:p>
    <w:p w14:paraId="7739126E" w14:textId="77777777" w:rsidR="0070276D" w:rsidRDefault="00000000">
      <w:pPr>
        <w:pStyle w:val="Heading5"/>
      </w:pPr>
      <w:r>
        <w:t>Declarations</w:t>
      </w:r>
    </w:p>
    <w:p w14:paraId="6384FBE5" w14:textId="77777777" w:rsidR="0070276D" w:rsidRDefault="00000000">
      <w:pPr>
        <w:pStyle w:val="BodyText"/>
      </w:pPr>
      <w:r>
        <w:t>Generative AI tools were used in an assistive role during the project for drafting, code support, and documentation refinement. Any AI-assisted material was reviewed, adapted, integrated, and tested by the project team, who take responsibility for the final submitted work.</w:t>
      </w:r>
    </w:p>
    <w:p w14:paraId="7FC07CCB" w14:textId="77777777" w:rsidR="0070276D" w:rsidRDefault="00000000">
      <w:pPr>
        <w:pStyle w:val="Heading5"/>
      </w:pPr>
      <w:r>
        <w:t>References</w:t>
      </w:r>
    </w:p>
    <w:p w14:paraId="16807A93" w14:textId="77777777" w:rsidR="0070276D" w:rsidRDefault="00000000">
      <w:pPr>
        <w:pStyle w:val="references"/>
        <w:ind w:left="354" w:hanging="354"/>
      </w:pPr>
      <w:r>
        <w:t>[1] M. Koren, R. Bell, and C. Volinsky, “Matrix factorization techniques for recommender systems,” Computer, vol. 42, no. 8, pp. 30–37, 2009.</w:t>
      </w:r>
    </w:p>
    <w:p w14:paraId="59EB1292" w14:textId="77777777" w:rsidR="0070276D" w:rsidRDefault="00000000">
      <w:pPr>
        <w:pStyle w:val="references"/>
        <w:ind w:left="354" w:hanging="354"/>
      </w:pPr>
      <w:r>
        <w:t xml:space="preserve">[2] L. </w:t>
      </w:r>
      <w:proofErr w:type="spellStart"/>
      <w:r>
        <w:t>Breiman</w:t>
      </w:r>
      <w:proofErr w:type="spellEnd"/>
      <w:r>
        <w:t>, “Random forests,” Machine Learning, vol. 45, no. 1, pp. 5–32, 2001.</w:t>
      </w:r>
    </w:p>
    <w:p w14:paraId="2A345B95" w14:textId="77777777" w:rsidR="0070276D" w:rsidRDefault="00000000">
      <w:pPr>
        <w:pStyle w:val="references"/>
        <w:ind w:left="354" w:hanging="354"/>
      </w:pPr>
      <w:r>
        <w:t>[3] M. Sandler, A. Howard, M. Zhu, A. Zhmoginov, and L.-C. Chen, “MobileNetV2: Inverted residuals and linear bottlenecks,” in Proc. IEEE/CVF Conf. on Computer Vision and Pattern Recognition, pp. 4510–4520, 2018.</w:t>
      </w:r>
    </w:p>
    <w:p w14:paraId="35AA363A" w14:textId="77777777" w:rsidR="0070276D" w:rsidRDefault="00000000">
      <w:pPr>
        <w:pStyle w:val="references"/>
        <w:ind w:left="354" w:hanging="354"/>
      </w:pPr>
      <w:r>
        <w:t xml:space="preserve">[4] F. Guidotti, A. </w:t>
      </w:r>
      <w:proofErr w:type="spellStart"/>
      <w:r>
        <w:t>Monreale</w:t>
      </w:r>
      <w:proofErr w:type="spellEnd"/>
      <w:r>
        <w:t xml:space="preserve">, S. Ruggieri, F. Turini, D. </w:t>
      </w:r>
      <w:proofErr w:type="spellStart"/>
      <w:r>
        <w:t>Pedreschi</w:t>
      </w:r>
      <w:proofErr w:type="spellEnd"/>
      <w:r>
        <w:t>, and F. Giannotti, “A survey of methods for explaining black box models,” ACM Computing Surveys, vol. 51, no. 5, Article 93, 2018.</w:t>
      </w:r>
    </w:p>
    <w:p w14:paraId="5DEF1367" w14:textId="77777777" w:rsidR="0070276D" w:rsidRDefault="00000000">
      <w:pPr>
        <w:pStyle w:val="references"/>
        <w:ind w:left="354" w:hanging="354"/>
      </w:pPr>
      <w:r>
        <w:t>[5] D. P. Kingma and J. Ba, “Adam: A method for stochastic optimization,” in Proc. Int. Conf. on Learning Representations, 2015.</w:t>
      </w:r>
    </w:p>
    <w:p w14:paraId="37C8496F" w14:textId="77777777" w:rsidR="0070276D" w:rsidRDefault="00000000">
      <w:pPr>
        <w:pStyle w:val="references"/>
        <w:ind w:left="354" w:hanging="354"/>
      </w:pPr>
      <w:r>
        <w:t>[6] UWE Bristol, “Advanced Artificial Intelligence assessment brief,” 2026.</w:t>
      </w:r>
    </w:p>
    <w:sectPr w:rsidR="0070276D">
      <w:type w:val="continuous"/>
      <w:pgSz w:w="11906" w:h="16838"/>
      <w:pgMar w:top="540" w:right="893" w:bottom="1440" w:left="893" w:header="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95A73" w14:textId="77777777" w:rsidR="00C67660" w:rsidRDefault="00C67660">
      <w:r>
        <w:separator/>
      </w:r>
    </w:p>
  </w:endnote>
  <w:endnote w:type="continuationSeparator" w:id="0">
    <w:p w14:paraId="5E18BC81" w14:textId="77777777" w:rsidR="00C67660" w:rsidRDefault="00C67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panose1 w:val="00000000000000000000"/>
    <w:charset w:val="00"/>
    <w:family w:val="roman"/>
    <w:notTrueType/>
    <w:pitch w:val="default"/>
  </w:font>
  <w:font w:name="SimSun;宋体">
    <w:panose1 w:val="00000000000000000000"/>
    <w:charset w:val="8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0"/>
    <w:family w:val="swiss"/>
    <w:pitch w:val="variable"/>
  </w:font>
  <w:font w:name="Noto Sans CJK SC">
    <w:panose1 w:val="00000000000000000000"/>
    <w:charset w:val="00"/>
    <w:family w:val="roman"/>
    <w:notTrueType/>
    <w:pitch w:val="default"/>
  </w:font>
  <w:font w:name="MS Mincho;ＭＳ 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56DD8" w14:textId="77777777" w:rsidR="0070276D" w:rsidRDefault="0070276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F021F" w14:textId="77777777" w:rsidR="0070276D" w:rsidRDefault="00000000">
    <w:pPr>
      <w:pStyle w:val="Footer"/>
      <w:jc w:val="left"/>
      <w:rPr>
        <w:rFonts w:eastAsia="Times New Roman"/>
        <w:sz w:val="16"/>
        <w:szCs w:val="16"/>
        <w:lang w:val="en-GB"/>
      </w:rPr>
    </w:pPr>
    <w:r>
      <w:rPr>
        <w:rFonts w:eastAsia="Times New Roman"/>
        <w:sz w:val="16"/>
        <w:szCs w:val="16"/>
        <w:lang w:val="en-G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010D2" w14:textId="77777777" w:rsidR="00C67660" w:rsidRDefault="00C67660">
      <w:r>
        <w:separator/>
      </w:r>
    </w:p>
  </w:footnote>
  <w:footnote w:type="continuationSeparator" w:id="0">
    <w:p w14:paraId="0C83D2F2" w14:textId="77777777" w:rsidR="00C67660" w:rsidRDefault="00C676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33FB1"/>
    <w:multiLevelType w:val="multilevel"/>
    <w:tmpl w:val="3578989C"/>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00000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AD37BE6"/>
    <w:multiLevelType w:val="multilevel"/>
    <w:tmpl w:val="F98AC262"/>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418C6033"/>
    <w:multiLevelType w:val="multilevel"/>
    <w:tmpl w:val="9314CF04"/>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AAF7054"/>
    <w:multiLevelType w:val="multilevel"/>
    <w:tmpl w:val="42F05DC0"/>
    <w:lvl w:ilvl="0">
      <w:start w:val="1"/>
      <w:numFmt w:val="bullet"/>
      <w:pStyle w:val="bulletlist"/>
      <w:lvlText w:val=""/>
      <w:lvlJc w:val="left"/>
      <w:pPr>
        <w:tabs>
          <w:tab w:val="num" w:pos="648"/>
        </w:tabs>
        <w:ind w:left="648"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F617AE8"/>
    <w:multiLevelType w:val="multilevel"/>
    <w:tmpl w:val="DBE463CE"/>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34346BB"/>
    <w:multiLevelType w:val="multilevel"/>
    <w:tmpl w:val="7C78A154"/>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6" w15:restartNumberingAfterBreak="0">
    <w:nsid w:val="74CC7609"/>
    <w:multiLevelType w:val="multilevel"/>
    <w:tmpl w:val="0952E79A"/>
    <w:lvl w:ilvl="0">
      <w:start w:val="1"/>
      <w:numFmt w:val="lowerLetter"/>
      <w:pStyle w:val="tablefootnote"/>
      <w:lvlText w:val="%1."/>
      <w:lvlJc w:val="right"/>
      <w:pPr>
        <w:tabs>
          <w:tab w:val="num" w:pos="0"/>
        </w:tabs>
        <w:ind w:left="418" w:hanging="360"/>
      </w:pPr>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94361475">
    <w:abstractNumId w:val="5"/>
  </w:num>
  <w:num w:numId="2" w16cid:durableId="157156868">
    <w:abstractNumId w:val="2"/>
  </w:num>
  <w:num w:numId="3" w16cid:durableId="1864634163">
    <w:abstractNumId w:val="3"/>
  </w:num>
  <w:num w:numId="4" w16cid:durableId="1854294239">
    <w:abstractNumId w:val="6"/>
  </w:num>
  <w:num w:numId="5" w16cid:durableId="1772167697">
    <w:abstractNumId w:val="1"/>
  </w:num>
  <w:num w:numId="6" w16cid:durableId="65416250">
    <w:abstractNumId w:val="0"/>
  </w:num>
  <w:num w:numId="7" w16cid:durableId="1721440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76D"/>
    <w:rsid w:val="002F552E"/>
    <w:rsid w:val="0070276D"/>
    <w:rsid w:val="007B42E0"/>
    <w:rsid w:val="00C676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65196"/>
  <w15:docId w15:val="{B81CDCC1-E3E3-4FC0-A20A-BB975C8A4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rFonts w:ascii="Times New Roman" w:eastAsia="SimSun;宋体" w:hAnsi="Times New Roman" w:cs="Times New Roman"/>
      <w:sz w:val="20"/>
      <w:szCs w:val="20"/>
      <w:lang w:bidi="ar-SA"/>
    </w:rPr>
  </w:style>
  <w:style w:type="paragraph" w:styleId="Heading1">
    <w:name w:val="heading 1"/>
    <w:basedOn w:val="Normal"/>
    <w:next w:val="Normal"/>
    <w:uiPriority w:val="9"/>
    <w:qFormat/>
    <w:pPr>
      <w:keepNext/>
      <w:keepLines/>
      <w:numPr>
        <w:numId w:val="1"/>
      </w:numPr>
      <w:tabs>
        <w:tab w:val="left" w:pos="216"/>
      </w:tabs>
      <w:spacing w:before="160" w:after="80"/>
      <w:ind w:firstLine="0"/>
      <w:outlineLvl w:val="0"/>
    </w:pPr>
    <w:rPr>
      <w:smallCaps/>
      <w:lang w:eastAsia="en-US"/>
    </w:rPr>
  </w:style>
  <w:style w:type="paragraph" w:styleId="Heading2">
    <w:name w:val="heading 2"/>
    <w:basedOn w:val="Normal"/>
    <w:next w:val="Normal"/>
    <w:uiPriority w:val="9"/>
    <w:unhideWhenUsed/>
    <w:qFormat/>
    <w:pPr>
      <w:keepNext/>
      <w:keepLines/>
      <w:numPr>
        <w:ilvl w:val="1"/>
        <w:numId w:val="1"/>
      </w:numPr>
      <w:tabs>
        <w:tab w:val="left" w:pos="288"/>
      </w:tabs>
      <w:spacing w:before="120" w:after="60"/>
      <w:jc w:val="left"/>
      <w:outlineLvl w:val="1"/>
    </w:pPr>
    <w:rPr>
      <w:i/>
      <w:iCs/>
      <w:lang w:eastAsia="en-US"/>
    </w:rPr>
  </w:style>
  <w:style w:type="paragraph" w:styleId="Heading3">
    <w:name w:val="heading 3"/>
    <w:basedOn w:val="Normal"/>
    <w:next w:val="Normal"/>
    <w:uiPriority w:val="9"/>
    <w:unhideWhenUsed/>
    <w:qFormat/>
    <w:pPr>
      <w:numPr>
        <w:ilvl w:val="2"/>
        <w:numId w:val="1"/>
      </w:numPr>
      <w:spacing w:line="240" w:lineRule="exact"/>
      <w:ind w:firstLine="288"/>
      <w:jc w:val="both"/>
      <w:outlineLvl w:val="2"/>
    </w:pPr>
    <w:rPr>
      <w:i/>
      <w:iCs/>
      <w:lang w:eastAsia="en-US"/>
    </w:rPr>
  </w:style>
  <w:style w:type="paragraph" w:styleId="Heading4">
    <w:name w:val="heading 4"/>
    <w:basedOn w:val="Normal"/>
    <w:next w:val="Normal"/>
    <w:uiPriority w:val="9"/>
    <w:unhideWhenUsed/>
    <w:qFormat/>
    <w:pPr>
      <w:numPr>
        <w:ilvl w:val="3"/>
        <w:numId w:val="1"/>
      </w:numPr>
      <w:tabs>
        <w:tab w:val="left" w:pos="720"/>
      </w:tabs>
      <w:spacing w:before="40" w:after="40"/>
      <w:ind w:firstLine="504"/>
      <w:jc w:val="both"/>
      <w:outlineLvl w:val="3"/>
    </w:pPr>
    <w:rPr>
      <w:i/>
      <w:iCs/>
      <w:lang w:eastAsia="en-US"/>
    </w:rPr>
  </w:style>
  <w:style w:type="paragraph" w:styleId="Heading5">
    <w:name w:val="heading 5"/>
    <w:basedOn w:val="Normal"/>
    <w:next w:val="Normal"/>
    <w:uiPriority w:val="9"/>
    <w:unhideWhenUsed/>
    <w:qFormat/>
    <w:pPr>
      <w:tabs>
        <w:tab w:val="left" w:pos="360"/>
      </w:tabs>
      <w:spacing w:before="160" w:after="80"/>
      <w:outlineLvl w:val="4"/>
    </w:pPr>
    <w:rPr>
      <w:smallCap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9z0">
    <w:name w:val="WW8Num9z0"/>
    <w:qFormat/>
    <w:rPr>
      <w:rFonts w:ascii="Symbol" w:hAnsi="Symbol" w:cs="Symbol"/>
    </w:rPr>
  </w:style>
  <w:style w:type="character" w:customStyle="1" w:styleId="WW8Num11z0">
    <w:name w:val="WW8Num11z0"/>
    <w:qFormat/>
    <w:rPr>
      <w:rFonts w:ascii="Symbol" w:hAnsi="Symbol" w:cs="Symbol"/>
    </w:rPr>
  </w:style>
  <w:style w:type="character" w:customStyle="1" w:styleId="WW8Num13z0">
    <w:name w:val="WW8Num13z0"/>
    <w:qFormat/>
    <w:rPr>
      <w:rFonts w:cs="Times New Roman"/>
      <w:i w:val="0"/>
      <w:iCs w:val="0"/>
    </w:rPr>
  </w:style>
  <w:style w:type="character" w:customStyle="1" w:styleId="WW8Num13z1">
    <w:name w:val="WW8Num13z1"/>
    <w:qFormat/>
    <w:rPr>
      <w:rFonts w:cs="Times New Roman"/>
    </w:rPr>
  </w:style>
  <w:style w:type="character" w:customStyle="1" w:styleId="WW8Num14z0">
    <w:name w:val="WW8Num14z0"/>
    <w:qFormat/>
    <w:rPr>
      <w:rFonts w:ascii="Times New Roman" w:hAnsi="Times New Roman" w:cs="Times New Roman"/>
      <w:b w:val="0"/>
      <w:bCs w:val="0"/>
      <w:i w:val="0"/>
      <w:iCs w:val="0"/>
      <w:caps w:val="0"/>
      <w:small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tyle>
  <w:style w:type="character" w:customStyle="1" w:styleId="WW8Num14z1">
    <w:name w:val="WW8Num14z1"/>
    <w:qFormat/>
    <w:rPr>
      <w:rFonts w:cs="Times New Roman"/>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cs="Times New Roman"/>
    </w:rPr>
  </w:style>
  <w:style w:type="character" w:customStyle="1" w:styleId="WW8Num17z0">
    <w:name w:val="WW8Num17z0"/>
    <w:qFormat/>
    <w:rPr>
      <w:rFonts w:ascii="Times New Roman" w:hAnsi="Times New Roman" w:cs="Times New Roman"/>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1">
    <w:name w:val="WW8Num17z1"/>
    <w:qFormat/>
    <w:rPr>
      <w:rFonts w:ascii="Times New Roman" w:hAnsi="Times New Roman" w:cs="Times New Roman"/>
      <w:b w:val="0"/>
      <w:bCs w:val="0"/>
      <w:i/>
      <w:iCs/>
      <w:caps w:val="0"/>
      <w:smallCaps w:val="0"/>
      <w:strike w:val="0"/>
      <w:dstrike w:val="0"/>
      <w:vanish w:val="0"/>
      <w:color w:val="000000"/>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7z3">
    <w:name w:val="WW8Num17z3"/>
    <w:qFormat/>
    <w:rPr>
      <w:rFonts w:ascii="Times New Roman" w:hAnsi="Times New Roman" w:cs="Times New Roman"/>
      <w:b w:val="0"/>
      <w:bCs w:val="0"/>
      <w:i/>
      <w:iCs/>
      <w:sz w:val="20"/>
      <w:szCs w:val="20"/>
    </w:rPr>
  </w:style>
  <w:style w:type="character" w:customStyle="1" w:styleId="WW8Num17z4">
    <w:name w:val="WW8Num17z4"/>
    <w:qFormat/>
    <w:rPr>
      <w:rFonts w:cs="Times New Roman"/>
    </w:rPr>
  </w:style>
  <w:style w:type="character" w:customStyle="1" w:styleId="WW8Num18z0">
    <w:name w:val="WW8Num18z0"/>
    <w:qFormat/>
    <w:rPr>
      <w:rFonts w:ascii="Times New Roman" w:hAnsi="Times New Roman" w:cs="Times New Roman"/>
      <w:b w:val="0"/>
      <w:i w:val="0"/>
      <w:caps w:val="0"/>
      <w:smallCaps w:val="0"/>
      <w:strike w:val="0"/>
      <w:dstrike w:val="0"/>
      <w:vanish w:val="0"/>
      <w:color w:val="000000"/>
      <w:spacing w:val="0"/>
      <w:w w:val="100"/>
      <w:kern w:val="0"/>
      <w:position w:val="0"/>
      <w:sz w:val="16"/>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WW8Num19z0">
    <w:name w:val="WW8Num19z0"/>
    <w:qFormat/>
    <w:rPr>
      <w:rFonts w:ascii="Times New Roman" w:hAnsi="Times New Roman" w:cs="Times New Roman"/>
      <w:b w:val="0"/>
      <w:bCs w:val="0"/>
      <w:i w:val="0"/>
      <w:iCs w:val="0"/>
      <w:sz w:val="16"/>
      <w:szCs w:val="16"/>
    </w:rPr>
  </w:style>
  <w:style w:type="character" w:customStyle="1" w:styleId="WW8Num20z0">
    <w:name w:val="WW8Num20z0"/>
    <w:qFormat/>
    <w:rPr>
      <w:rFonts w:ascii="Times New Roman" w:hAnsi="Times New Roman" w:cs="Times New Roman"/>
      <w:b w:val="0"/>
      <w:bCs w:val="0"/>
      <w:i w:val="0"/>
      <w:iCs w:val="0"/>
      <w:color w:val="000000"/>
      <w:sz w:val="16"/>
      <w:szCs w:val="16"/>
    </w:rPr>
  </w:style>
  <w:style w:type="character" w:customStyle="1" w:styleId="WW8Num20z1">
    <w:name w:val="WW8Num20z1"/>
    <w:qFormat/>
    <w:rPr>
      <w:rFonts w:cs="Times New Roman"/>
    </w:rPr>
  </w:style>
  <w:style w:type="character" w:customStyle="1" w:styleId="WW8Num21z0">
    <w:name w:val="WW8Num21z0"/>
    <w:qFormat/>
    <w:rPr>
      <w:rFonts w:ascii="Times New Roman" w:hAnsi="Times New Roman" w:cs="Times New Roman"/>
      <w:b w:val="0"/>
      <w:bCs w:val="0"/>
      <w:i w:val="0"/>
      <w:iCs w:val="0"/>
      <w:sz w:val="16"/>
      <w:szCs w:val="16"/>
    </w:rPr>
  </w:style>
  <w:style w:type="character" w:customStyle="1" w:styleId="BodyTextChar">
    <w:name w:val="Body Text Char"/>
    <w:qFormat/>
    <w:rPr>
      <w:spacing w:val="-1"/>
      <w:lang w:val="en-US"/>
    </w:rPr>
  </w:style>
  <w:style w:type="character" w:customStyle="1" w:styleId="HeaderChar">
    <w:name w:val="Header Char"/>
    <w:basedOn w:val="DefaultParagraphFont"/>
    <w:qFormat/>
  </w:style>
  <w:style w:type="character" w:customStyle="1" w:styleId="FooterChar">
    <w:name w:val="Footer Char"/>
    <w:basedOn w:val="DefaultParagraphFont"/>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tabs>
        <w:tab w:val="left" w:pos="288"/>
      </w:tabs>
      <w:spacing w:after="120" w:line="228" w:lineRule="auto"/>
      <w:ind w:firstLine="288"/>
      <w:jc w:val="both"/>
    </w:pPr>
    <w:rPr>
      <w:spacing w:val="-1"/>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pPr>
      <w:spacing w:after="200"/>
      <w:ind w:firstLine="272"/>
      <w:jc w:val="both"/>
    </w:pPr>
    <w:rPr>
      <w:rFonts w:ascii="Times New Roman" w:eastAsia="SimSun;宋体" w:hAnsi="Times New Roman" w:cs="Times New Roman"/>
      <w:b/>
      <w:bCs/>
      <w:sz w:val="18"/>
      <w:szCs w:val="18"/>
      <w:lang w:bidi="ar-SA"/>
    </w:rPr>
  </w:style>
  <w:style w:type="paragraph" w:customStyle="1" w:styleId="Affiliation">
    <w:name w:val="Affiliation"/>
    <w:qFormat/>
    <w:pPr>
      <w:jc w:val="center"/>
    </w:pPr>
    <w:rPr>
      <w:rFonts w:ascii="Times New Roman" w:eastAsia="SimSun;宋体" w:hAnsi="Times New Roman" w:cs="Times New Roman"/>
      <w:sz w:val="20"/>
      <w:szCs w:val="20"/>
      <w:lang w:bidi="ar-SA"/>
    </w:rPr>
  </w:style>
  <w:style w:type="paragraph" w:customStyle="1" w:styleId="Author">
    <w:name w:val="Author"/>
    <w:qFormat/>
    <w:pPr>
      <w:spacing w:before="360" w:after="40"/>
      <w:jc w:val="center"/>
    </w:pPr>
    <w:rPr>
      <w:rFonts w:ascii="Times New Roman" w:eastAsia="SimSun;宋体" w:hAnsi="Times New Roman" w:cs="Times New Roman"/>
      <w:sz w:val="22"/>
      <w:szCs w:val="22"/>
      <w:lang w:eastAsia="en-US" w:bidi="ar-SA"/>
    </w:rPr>
  </w:style>
  <w:style w:type="paragraph" w:customStyle="1" w:styleId="bulletlist">
    <w:name w:val="bullet list"/>
    <w:basedOn w:val="BodyText"/>
    <w:qFormat/>
    <w:pPr>
      <w:numPr>
        <w:numId w:val="3"/>
      </w:numPr>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6"/>
      </w:numPr>
      <w:tabs>
        <w:tab w:val="left" w:pos="533"/>
      </w:tabs>
      <w:spacing w:before="80" w:after="200"/>
      <w:ind w:left="0" w:firstLine="0"/>
      <w:jc w:val="both"/>
    </w:pPr>
    <w:rPr>
      <w:rFonts w:ascii="Times New Roman" w:eastAsia="SimSun;宋体" w:hAnsi="Times New Roman" w:cs="Times New Roman"/>
      <w:sz w:val="16"/>
      <w:szCs w:val="16"/>
      <w:lang w:eastAsia="en-US" w:bidi="ar-SA"/>
    </w:rPr>
  </w:style>
  <w:style w:type="paragraph" w:customStyle="1" w:styleId="footnote">
    <w:name w:val="footnote"/>
    <w:qFormat/>
    <w:pPr>
      <w:numPr>
        <w:numId w:val="2"/>
      </w:numPr>
      <w:spacing w:after="40"/>
    </w:pPr>
    <w:rPr>
      <w:rFonts w:ascii="Times New Roman" w:eastAsia="SimSun;宋体" w:hAnsi="Times New Roman" w:cs="Times New Roman"/>
      <w:sz w:val="16"/>
      <w:szCs w:val="16"/>
      <w:lang w:bidi="ar-SA"/>
    </w:rPr>
  </w:style>
  <w:style w:type="paragraph" w:customStyle="1" w:styleId="papersubtitle">
    <w:name w:val="paper subtitle"/>
    <w:qFormat/>
    <w:pPr>
      <w:spacing w:after="120"/>
      <w:jc w:val="center"/>
    </w:pPr>
    <w:rPr>
      <w:rFonts w:ascii="Times New Roman" w:eastAsia="MS Mincho;ＭＳ 明朝" w:hAnsi="Times New Roman" w:cs="Times New Roman"/>
      <w:sz w:val="28"/>
      <w:szCs w:val="28"/>
      <w:lang w:eastAsia="en-US" w:bidi="ar-SA"/>
    </w:rPr>
  </w:style>
  <w:style w:type="paragraph" w:customStyle="1" w:styleId="papertitle">
    <w:name w:val="paper title"/>
    <w:qFormat/>
    <w:pPr>
      <w:spacing w:after="120"/>
      <w:jc w:val="center"/>
    </w:pPr>
    <w:rPr>
      <w:rFonts w:ascii="Times New Roman" w:eastAsia="MS Mincho;ＭＳ 明朝" w:hAnsi="Times New Roman" w:cs="Times New Roman"/>
      <w:sz w:val="48"/>
      <w:szCs w:val="48"/>
      <w:lang w:eastAsia="en-US" w:bidi="ar-SA"/>
    </w:rPr>
  </w:style>
  <w:style w:type="paragraph" w:customStyle="1" w:styleId="references">
    <w:name w:val="references"/>
    <w:qFormat/>
    <w:pPr>
      <w:numPr>
        <w:numId w:val="5"/>
      </w:numPr>
      <w:spacing w:after="50" w:line="180" w:lineRule="exact"/>
      <w:jc w:val="both"/>
    </w:pPr>
    <w:rPr>
      <w:rFonts w:ascii="Times New Roman" w:eastAsia="MS Mincho;ＭＳ 明朝" w:hAnsi="Times New Roman" w:cs="Times New Roman"/>
      <w:sz w:val="16"/>
      <w:szCs w:val="16"/>
      <w:lang w:eastAsia="en-US" w:bidi="ar-SA"/>
    </w:rPr>
  </w:style>
  <w:style w:type="paragraph" w:customStyle="1" w:styleId="sponsors">
    <w:name w:val="sponsors"/>
    <w:qFormat/>
    <w:pPr>
      <w:pBdr>
        <w:top w:val="single" w:sz="4" w:space="2" w:color="000000"/>
      </w:pBdr>
      <w:ind w:firstLine="288"/>
    </w:pPr>
    <w:rPr>
      <w:rFonts w:ascii="Times New Roman" w:eastAsia="SimSun;宋体" w:hAnsi="Times New Roman" w:cs="Times New Roman"/>
      <w:sz w:val="16"/>
      <w:szCs w:val="16"/>
      <w:lang w:bidi="ar-SA"/>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rFonts w:ascii="Times New Roman" w:eastAsia="SimSun;宋体" w:hAnsi="Times New Roman" w:cs="Times New Roman"/>
      <w:sz w:val="16"/>
      <w:szCs w:val="16"/>
      <w:lang w:eastAsia="en-US" w:bidi="ar-SA"/>
    </w:rPr>
  </w:style>
  <w:style w:type="paragraph" w:customStyle="1" w:styleId="tablefootnote">
    <w:name w:val="table footnote"/>
    <w:qFormat/>
    <w:pPr>
      <w:numPr>
        <w:numId w:val="4"/>
      </w:numPr>
      <w:spacing w:before="60" w:after="30"/>
      <w:ind w:left="58" w:hanging="29"/>
      <w:jc w:val="right"/>
    </w:pPr>
    <w:rPr>
      <w:rFonts w:ascii="Times New Roman" w:eastAsia="SimSun;宋体" w:hAnsi="Times New Roman" w:cs="Times New Roman"/>
      <w:sz w:val="12"/>
      <w:szCs w:val="12"/>
      <w:lang w:bidi="ar-SA"/>
    </w:rPr>
  </w:style>
  <w:style w:type="paragraph" w:customStyle="1" w:styleId="tablehead">
    <w:name w:val="table head"/>
    <w:qFormat/>
    <w:pPr>
      <w:numPr>
        <w:numId w:val="7"/>
      </w:numPr>
      <w:spacing w:before="240" w:after="120" w:line="216" w:lineRule="auto"/>
      <w:jc w:val="center"/>
    </w:pPr>
    <w:rPr>
      <w:rFonts w:ascii="Times New Roman" w:eastAsia="SimSun;宋体" w:hAnsi="Times New Roman" w:cs="Times New Roman"/>
      <w:smallCaps/>
      <w:sz w:val="16"/>
      <w:szCs w:val="16"/>
      <w:lang w:eastAsia="en-US" w:bidi="ar-SA"/>
    </w:rPr>
  </w:style>
  <w:style w:type="paragraph" w:customStyle="1" w:styleId="Keywords">
    <w:name w:val="Keywords"/>
    <w:basedOn w:val="Abstract"/>
    <w:qFormat/>
    <w:pPr>
      <w:spacing w:after="120"/>
      <w:ind w:firstLine="274"/>
    </w:pPr>
    <w:rPr>
      <w:i/>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680"/>
        <w:tab w:val="right" w:pos="9360"/>
      </w:tabs>
    </w:pPr>
  </w:style>
  <w:style w:type="paragraph" w:styleId="Footer">
    <w:name w:val="footer"/>
    <w:basedOn w:val="Normal"/>
    <w:pPr>
      <w:tabs>
        <w:tab w:val="center" w:pos="4680"/>
        <w:tab w:val="right" w:pos="9360"/>
      </w:tabs>
    </w:p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2349</Words>
  <Characters>13394</Characters>
  <Application>Microsoft Office Word</Application>
  <DocSecurity>0</DocSecurity>
  <Lines>111</Lines>
  <Paragraphs>31</Paragraphs>
  <ScaleCrop>false</ScaleCrop>
  <Company/>
  <LinksUpToDate>false</LinksUpToDate>
  <CharactersWithSpaces>15712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Josh James</cp:lastModifiedBy>
  <cp:revision>2</cp:revision>
  <dcterms:created xsi:type="dcterms:W3CDTF">2026-04-20T16:42:00Z</dcterms:created>
  <dcterms:modified xsi:type="dcterms:W3CDTF">2026-04-20T16:42:00Z</dcterms:modified>
  <dc:language>en-US</dc:language>
</cp:coreProperties>
</file>