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7B025" w14:textId="77777777" w:rsidR="00EB4D71" w:rsidRDefault="00000000">
      <w:pPr>
        <w:pStyle w:val="papertitle"/>
        <w:spacing w:before="100" w:after="100"/>
        <w:ind w:left="1440"/>
      </w:pPr>
      <w:r>
        <w:t>Hybrid AI Services for the Bristol Regional Food Network Digital Marketplace</w:t>
      </w:r>
    </w:p>
    <w:p w14:paraId="4D2D4360" w14:textId="77777777" w:rsidR="00EB4D71" w:rsidRDefault="00EB4D71">
      <w:pPr>
        <w:pStyle w:val="Author"/>
        <w:spacing w:before="100" w:after="100" w:line="120" w:lineRule="auto"/>
        <w:rPr>
          <w:sz w:val="16"/>
          <w:szCs w:val="16"/>
        </w:rPr>
      </w:pPr>
    </w:p>
    <w:p w14:paraId="5C7E92BD" w14:textId="77777777" w:rsidR="00EB4D71" w:rsidRDefault="00EB4D71">
      <w:pPr>
        <w:rPr>
          <w:sz w:val="22"/>
          <w:szCs w:val="22"/>
        </w:rPr>
      </w:pPr>
    </w:p>
    <w:p w14:paraId="173A41FB" w14:textId="1BD16A95" w:rsidR="00EB4D71" w:rsidRDefault="00EB4D71" w:rsidP="00AB2A52">
      <w:pPr>
        <w:pStyle w:val="Author"/>
        <w:spacing w:before="100"/>
        <w:sectPr w:rsidR="00EB4D71">
          <w:footerReference w:type="default" r:id="rId7"/>
          <w:footerReference w:type="first" r:id="rId8"/>
          <w:pgSz w:w="11906" w:h="16838"/>
          <w:pgMar w:top="540" w:right="893" w:bottom="1440" w:left="893" w:header="0" w:footer="720" w:gutter="0"/>
          <w:cols w:space="720"/>
          <w:formProt w:val="0"/>
          <w:titlePg/>
          <w:docGrid w:linePitch="360"/>
        </w:sectPr>
      </w:pPr>
    </w:p>
    <w:p w14:paraId="354E984E" w14:textId="00EC2E2E" w:rsidR="00EB4D71" w:rsidRPr="00AB2A52" w:rsidRDefault="00EB4D71" w:rsidP="00AB2A52">
      <w:pPr>
        <w:pStyle w:val="Author"/>
        <w:spacing w:before="100"/>
        <w:jc w:val="both"/>
      </w:pPr>
    </w:p>
    <w:p w14:paraId="2335B3A4" w14:textId="315CEB1A" w:rsidR="00EB4D71" w:rsidRDefault="00EB4D71">
      <w:pPr>
        <w:pStyle w:val="Author"/>
        <w:spacing w:before="100"/>
        <w:rPr>
          <w:sz w:val="28"/>
          <w:szCs w:val="28"/>
        </w:rPr>
      </w:pPr>
    </w:p>
    <w:p w14:paraId="0159F914" w14:textId="77777777" w:rsidR="00EB4D71" w:rsidRDefault="00EB4D71">
      <w:pPr>
        <w:rPr>
          <w:sz w:val="22"/>
          <w:szCs w:val="22"/>
        </w:rPr>
      </w:pPr>
    </w:p>
    <w:p w14:paraId="5A9BFC6A" w14:textId="77777777" w:rsidR="00AB2A52" w:rsidRDefault="00AB2A52">
      <w:pPr>
        <w:rPr>
          <w:sz w:val="22"/>
          <w:szCs w:val="22"/>
        </w:rPr>
        <w:sectPr w:rsidR="00AB2A52">
          <w:type w:val="continuous"/>
          <w:pgSz w:w="11906" w:h="16838"/>
          <w:pgMar w:top="540" w:right="893" w:bottom="1440" w:left="893" w:header="0" w:footer="720" w:gutter="0"/>
          <w:cols w:num="3" w:space="720"/>
          <w:formProt w:val="0"/>
          <w:titlePg/>
          <w:docGrid w:linePitch="360"/>
        </w:sectPr>
      </w:pPr>
    </w:p>
    <w:p w14:paraId="2D2F6725" w14:textId="77777777" w:rsidR="00EB4D71" w:rsidRDefault="00EB4D71"/>
    <w:p w14:paraId="0E94BADB" w14:textId="77777777" w:rsidR="00EB4D71" w:rsidRDefault="00000000">
      <w:pPr>
        <w:pStyle w:val="BodyText"/>
        <w:sectPr w:rsidR="00EB4D71">
          <w:type w:val="continuous"/>
          <w:pgSz w:w="11906" w:h="16838"/>
          <w:pgMar w:top="540" w:right="893" w:bottom="1440" w:left="893" w:header="0" w:footer="720" w:gutter="0"/>
          <w:cols w:num="3" w:space="720"/>
          <w:formProt w:val="0"/>
          <w:titlePg/>
          <w:docGrid w:linePitch="360"/>
        </w:sectPr>
      </w:pPr>
      <w:r>
        <w:t xml:space="preserve">Abstract—This report reviews two AI components developed for the Bristol Regional Food Network case study. Task 1 is an intelligent ordering pipeline based on a synthetic order-history dataset, a model-comparison notebook, a production Random Forest script, and saved model artefacts. Task 2 is </w:t>
      </w:r>
      <w:r>
        <w:t xml:space="preserve">a produce-inspection pipeline combining MobileNetV2 image classification, heuristic grading, and a Flask inference endpoint. Taken together, the work can be justified as a hybrid AI solution at the project-design level because it combines supervised learning for structured data with deep learning and rule-based reasoning for images, even </w:t>
      </w:r>
      <w:r>
        <w:t>though the two tasks are not directly integrated in code. The implementation is demonstrable, but the evidence base is constrained by synthetic Task 1 data, validation-based Task 2 evaluation, and limited independent testing.</w:t>
      </w:r>
    </w:p>
    <w:p w14:paraId="7AD110D0" w14:textId="77777777" w:rsidR="00EB4D71" w:rsidRDefault="00000000">
      <w:pPr>
        <w:pStyle w:val="Keywords"/>
        <w:ind w:firstLine="0"/>
      </w:pPr>
      <w:r>
        <w:t>Keywords—hybrid AI, machine learning, computer vision, transfer learning, Random Forest, digital marketplace, food network</w:t>
      </w:r>
    </w:p>
    <w:p w14:paraId="417EF0AD" w14:textId="77777777" w:rsidR="00EB4D71" w:rsidRDefault="00000000">
      <w:pPr>
        <w:pStyle w:val="Heading1"/>
      </w:pPr>
      <w:r>
        <w:t>Introduction</w:t>
      </w:r>
    </w:p>
    <w:p w14:paraId="3DE3F317" w14:textId="77777777" w:rsidR="00EB4D71" w:rsidRDefault="00000000">
      <w:pPr>
        <w:pStyle w:val="BodyText"/>
      </w:pPr>
      <w:r>
        <w:t>The case study concerns ordering and produce-quality decisions within a digital food marketplace. In the submitted repositories, Task 1 predicts likely products from structured order-history data, while Task 2 classifies produce images as fresh or rotten and, for fresh items, assigns a grade and action recommendation (UWE Bristol, 2026). The tasks are separate in code, but they address related operational decisions in the same domain.</w:t>
      </w:r>
    </w:p>
    <w:p w14:paraId="6CF195D1" w14:textId="77777777" w:rsidR="00EB4D71" w:rsidRDefault="00000000">
      <w:pPr>
        <w:pStyle w:val="BodyText"/>
      </w:pPr>
      <w:r>
        <w:t>This can still be framed as a hybrid AI system in a modular sense because different paradigms are matched to different data types and decision points. Task 1 uses supervised machine learning on tabular order records. Task 2 combines transfer learning for image classification with explicit grading heuristics for downstream action selection. That interpretation is closer to the brief’s emphasis on blending paradigms for complex problems than claiming a single end-to-end integrated implementation.</w:t>
      </w:r>
    </w:p>
    <w:p w14:paraId="0B0D5250" w14:textId="77777777" w:rsidR="00EB4D71" w:rsidRDefault="00000000">
      <w:pPr>
        <w:pStyle w:val="Heading1"/>
      </w:pPr>
      <w:r>
        <w:t>Literature Review</w:t>
      </w:r>
    </w:p>
    <w:p w14:paraId="191B8362" w14:textId="77777777" w:rsidR="00EB4D71" w:rsidRDefault="00000000">
      <w:pPr>
        <w:pStyle w:val="BodyText"/>
      </w:pPr>
      <w:r>
        <w:t>For Task 1, the repository shows candidate approaches based on SVM, Random Forest, and XGBoost in the notebook, with Random Forest used in the production script. Random Forest is a reasonable final choice for mixed tabular features because it can model non-linear interactions across encoded categorical, numeric, and temporal inputs without the same scaling dependence as SVM, and it provides feature-importance outputs that support limited interpretability (Breiman, 2001; Cortes and Vapnik, 1995; Chen and Guestrin, 2016). The notebook’s saved outputs show SVM accuracy of 91.70% and Random Forest accuracy of 98.99%, with XGBoost also included as a candidate model. Those figures should be read cautiously because they were produced on synthetic data rather than operational order records.</w:t>
      </w:r>
    </w:p>
    <w:p w14:paraId="4F8C028B" w14:textId="77777777" w:rsidR="00EB4D71" w:rsidRDefault="00000000">
      <w:pPr>
        <w:pStyle w:val="BodyText"/>
      </w:pPr>
      <w:r>
        <w:t>For Task 2, the code uses MobileNetV2 transfer learning with the pretrained base frozen and a small custom head trained on top. This is appropriate for a student project with limited time and compute because it reuses general visual features instead of training a CNN from scratch (Sandler et al., 2018; Abadi et al., 2016). Explainability is stronger in the grading layer than in the classifier itself: the classifier outputs probabilities, while the grading logic exposes explicit threshold checks and textual reasons. In theoretical terms, Task 2 is therefore not just a classifier but a small hybrid decision pipeline in which learned prediction is followed by human-readable rule application.</w:t>
      </w:r>
    </w:p>
    <w:p w14:paraId="494A7453" w14:textId="77777777" w:rsidR="00EB4D71" w:rsidRDefault="00000000">
      <w:pPr>
        <w:pStyle w:val="Heading1"/>
      </w:pPr>
      <w:r>
        <w:t>Materials and Methods</w:t>
      </w:r>
    </w:p>
    <w:p w14:paraId="485D6839" w14:textId="77777777" w:rsidR="00EB4D71" w:rsidRDefault="00000000">
      <w:pPr>
        <w:pStyle w:val="Heading2"/>
        <w:numPr>
          <w:ilvl w:val="0"/>
          <w:numId w:val="0"/>
        </w:numPr>
        <w:ind w:left="288"/>
      </w:pPr>
      <w:r>
        <w:t>Task 1</w:t>
      </w:r>
    </w:p>
    <w:p w14:paraId="427424E7" w14:textId="77777777" w:rsidR="00EB4D71" w:rsidRDefault="00000000">
      <w:pPr>
        <w:pStyle w:val="BodyText"/>
      </w:pPr>
      <w:r>
        <w:t>The Task 1 repository contains orders_dataset.csv, intelligent_ordering_ml.ipynb, random_forest_model.py, and three saved artefacts. The dataset has 3,026 rows and 18 columns, covering 80 users and 26 products. The README and file contents indicate that the dataset is synthetic, so it is suitable for demonstrating pipeline design but not for validating real customer behaviour.</w:t>
      </w:r>
    </w:p>
    <w:p w14:paraId="7CB895B8" w14:textId="77777777" w:rsidR="00EB4D71" w:rsidRDefault="00000000">
      <w:pPr>
        <w:pStyle w:val="BodyText"/>
      </w:pPr>
      <w:r>
        <w:t>The notebook performs exploratory analysis, engineers temporal and user-level features, filters to the top 15 products for comparative modelling, and includes code for SVM, Random Forest, and XGBoost. The production script uses the full dataset and engineers delivery_days, month, dayofweek, total_orders, avg_spend, organic_rate, and fav_category, alongside label-encoded section, unit, category, fav_category, and order_status features. The final model is a RandomForestClassifier with 500 estimators and a stratified 80/20 train-test split (Breiman, 2001; Pedregosa et al., 2011).</w:t>
      </w:r>
    </w:p>
    <w:p w14:paraId="5054B1F3" w14:textId="77777777" w:rsidR="00EB4D71" w:rsidRDefault="00000000">
      <w:pPr>
        <w:pStyle w:val="Heading2"/>
      </w:pPr>
      <w:r>
        <w:t>Task 2</w:t>
      </w:r>
    </w:p>
    <w:p w14:paraId="5C3B85BA" w14:textId="77777777" w:rsidR="00EB4D71" w:rsidRDefault="00000000">
      <w:pPr>
        <w:pStyle w:val="BodyText"/>
      </w:pPr>
      <w:r>
        <w:t>The Task 2 repository contains training, evaluation, grading, inference, and service scripts, plus saved results. train_model.py loads images from a local dataset/ directory using ImageDataGenerator with a validation_split of 0.2, resizes images to 224×224, freezes the MobileNetV2 base, and trains a binary classifier for five epochs. evaluate_model.py sets a fixed seed of 42 and states explicitly that the validation split is being used as a temporary test proxy, which is methodologically weaker than a true held-out test set but is accurately documented in the code (Sandler et al., 2018; Abadi et al., 2016).</w:t>
      </w:r>
    </w:p>
    <w:p w14:paraId="7286113A" w14:textId="77777777" w:rsidR="00EB4D71" w:rsidRDefault="00000000">
      <w:pPr>
        <w:pStyle w:val="BodyText"/>
      </w:pPr>
      <w:r>
        <w:lastRenderedPageBreak/>
        <w:t>After classification, the grading pipeline computes colour, size, and ripeness scores from OpenCV image processing and freshness probability. It then applies implementation-defined thresholds: A requires all three scores to be at least 80, B requires all three scores to be at least 65, and otherwise the item is graded C. These thresholds are coded heuristics rather than validated domain standards. The pipeline also generates recommended actions and textual explanations for both grade assignment and rotten-item removal (Bradski, 2000).</w:t>
      </w:r>
    </w:p>
    <w:p w14:paraId="1C4FC40D" w14:textId="77777777" w:rsidR="00EB4D71" w:rsidRDefault="00000000">
      <w:pPr>
        <w:pStyle w:val="Heading1"/>
      </w:pPr>
      <w:r>
        <w:t>Deployment and Integration</w:t>
      </w:r>
    </w:p>
    <w:p w14:paraId="3B20E271" w14:textId="77777777" w:rsidR="00EB4D71" w:rsidRDefault="00000000">
      <w:pPr>
        <w:pStyle w:val="BodyText"/>
      </w:pPr>
      <w:r>
        <w:t>Task 1 serialises rf_model.pkl, target_encoder.pkl, and feature_encoders.pkl for later reuse. Task 2 exposes a Flask /predict endpoint that accepts an uploaded image, runs the prediction-and-grading pipeline, and returns JSON containing the predicted label, probabilities, grading fields, action, and explanation. This demonstrates service-style deployment for Task 2.</w:t>
      </w:r>
    </w:p>
    <w:p w14:paraId="779BD9F8" w14:textId="77777777" w:rsidR="00EB4D71" w:rsidRDefault="00000000">
      <w:pPr>
        <w:pStyle w:val="BodyText"/>
      </w:pPr>
      <w:r>
        <w:t>There is no implemented code path that directly connects Task 1 and Task 2. The more defensible claim is therefore architectural relatedness rather than software integration. Task 1 contributes personalised ordering support from tabular purchase history, while Task 2 contributes product-quality assessment from images plus rule-based action guidance. They could inform one another conceptually within the marketplace domain, but that linkage is not implemented in the submitted repositories. The hybrid aspect of the submission therefore lies in the combined project design and the different AI paradigms selected for different problem types, not in a single integrated codebase.</w:t>
      </w:r>
    </w:p>
    <w:p w14:paraId="310605E4" w14:textId="77777777" w:rsidR="00EB4D71" w:rsidRDefault="00000000">
      <w:pPr>
        <w:pStyle w:val="Heading1"/>
      </w:pPr>
      <w:r>
        <w:t>Results and Discussion</w:t>
      </w:r>
    </w:p>
    <w:p w14:paraId="4F1CCCFA" w14:textId="77777777" w:rsidR="00EB4D71" w:rsidRDefault="00000000">
      <w:pPr>
        <w:pStyle w:val="Heading2"/>
        <w:numPr>
          <w:ilvl w:val="0"/>
          <w:numId w:val="0"/>
        </w:numPr>
        <w:ind w:left="288"/>
      </w:pPr>
      <w:r>
        <w:t>Task 1</w:t>
      </w:r>
    </w:p>
    <w:p w14:paraId="1EF061CC" w14:textId="77777777" w:rsidR="00EB4D71" w:rsidRDefault="00000000">
      <w:pPr>
        <w:pStyle w:val="BodyText"/>
      </w:pPr>
      <w:r>
        <w:t>Task 1 provides evidence of a complete machine-learning workflow: data loading, feature engineering, comparative experimentation in the notebook, final model training in the script, console evaluation output, feature-importance reporting, and artefact export. In the notebook, the saved outputs show 91.70% accuracy for SVM and 98.99% for Random Forest on the top-15-product subset, with XGBoost also trained as a comparison model. These outputs are useful because they show that candidate approaches were considered rather than a single model being adopted without comparison.</w:t>
      </w:r>
    </w:p>
    <w:p w14:paraId="06E493D3" w14:textId="77777777" w:rsidR="00EB4D71" w:rsidRDefault="00000000">
      <w:pPr>
        <w:pStyle w:val="BodyText"/>
      </w:pPr>
      <w:r>
        <w:t>The apparent performance advantage of Random Forest is plausible for this feature space, which mixes encoded categorical variables with numeric and temporal features. Even so, the results are not strong evidence of real-world predictive performance. The dataset is synthetic, the train-test split comes from the same generated distribution, and some engineered variables may make the task easier than a realistic deployment setting. In particular, line_total is derived from the ordered item and could leak product-specific information into the prediction task. For that reason, the Task 1 findings are better interpreted as evidence that the pipeline functions on the constructed dataset and can separate patterns within it, not as proof that the model would generalise reliably to live marketplace behaviour.</w:t>
      </w:r>
    </w:p>
    <w:p w14:paraId="0A07A86C" w14:textId="77777777" w:rsidR="00EB4D71" w:rsidRDefault="00000000">
      <w:pPr>
        <w:pStyle w:val="Heading2"/>
      </w:pPr>
      <w:r>
        <w:t>Task 2</w:t>
      </w:r>
    </w:p>
    <w:p w14:paraId="62D4F57F" w14:textId="77777777" w:rsidR="00EB4D71" w:rsidRDefault="00000000">
      <w:pPr>
        <w:pStyle w:val="BodyText"/>
      </w:pPr>
      <w:r>
        <w:t>Task 2 has stronger saved evaluation artefacts. The results folder contains metrics.json, classification_report.txt, and confusion_matrix.png. The saved metrics report accuracy of 0.9786, precision of 0.9680, recall of 0.9922, and F1-score of 0.9800. The classification report shows class-level F1-scores of 0.98 for both fresh and rotten classes, with support of 2,749 fresh images and 3,081 rotten images. A training graph image is also included, which supports discussion of saved model behaviour even though the underlying dataset is not shipped in the zip.</w:t>
      </w:r>
    </w:p>
    <w:p w14:paraId="1EDB072B" w14:textId="77777777" w:rsidR="00EB4D71" w:rsidRDefault="00000000">
      <w:pPr>
        <w:pStyle w:val="BodyText"/>
      </w:pPr>
      <w:r>
        <w:t>In this context, accuracy describes the overall proportion of correct classifications on the evaluated subset. Precision indicates how often a class prediction is correct when the model assigns that class, recall indicates how many true instances of that class are successfully found, and F1-score summarises the balance between precision and recall. These metrics matter because a produce-screening system does not fail in only one way: it can either miss problematic items or incorrectly penalise acceptable ones (Sokolova and Lapalme, 2009).</w:t>
      </w:r>
    </w:p>
    <w:p w14:paraId="53AEC407" w14:textId="77777777" w:rsidR="00EB4D71" w:rsidRDefault="00000000">
      <w:pPr>
        <w:pStyle w:val="BodyText"/>
      </w:pPr>
      <w:r>
        <w:t>The pattern of errors is therefore important. Fresh has precision 0.99 and recall 0.96, while rotten has precision 0.97 and recall 0.99. This means the model is less likely to miss rotten produce than to incorrectly flag some fresh produce as rotten. In a food-network context that may be a defensible safety bias, because failing to detect rotten produce is operationally serious, but it also introduces a cost and fairness trade-off for producers if saleable items are rejected or discounted unnecessarily. The confusion matrix is useful because it exposes that balance directly rather than collapsing all performance into a single number.</w:t>
      </w:r>
    </w:p>
    <w:p w14:paraId="72A31E5A" w14:textId="77777777" w:rsidR="00EB4D71" w:rsidRDefault="00000000">
      <w:pPr>
        <w:pStyle w:val="BodyText"/>
      </w:pPr>
      <w:r>
        <w:t>The grading layer adds interpretability (Guidotti et al., 2018) but not equivalent empirical validation. Colour and size scores depend on image conditions such as lighting, framing, and background, and the grade thresholds are manually defined in code. The classifier metrics therefore support the freshness-classification stage only. They should not be treated as separate proof that the grading and action-recommendation stages are equally accurate.</w:t>
      </w:r>
    </w:p>
    <w:p w14:paraId="76D04C6B" w14:textId="77777777" w:rsidR="00EB4D71" w:rsidRDefault="00000000">
      <w:pPr>
        <w:pStyle w:val="Heading1"/>
      </w:pPr>
      <w:r>
        <w:t>Testing</w:t>
      </w:r>
    </w:p>
    <w:p w14:paraId="30108A1A" w14:textId="77777777" w:rsidR="00EB4D71" w:rsidRDefault="00000000">
      <w:pPr>
        <w:pStyle w:val="BodyText"/>
      </w:pPr>
      <w:r>
        <w:t>The testing evidence is uneven across the two tasks. Task 2 includes saved outputs that can be inspected without retraining: a metrics summary, a classification report, a confusion matrix, a training graph, the prediction pipeline, and the Flask endpoint. These artefacts support discussion of accuracy, precision, recall, F1-score, class-level error patterns, and the demonstrable behaviour of the inference service. However, evaluate_model.py explicitly uses the validation subset as a temporary proxy for testing, so the findings remain vulnerable to optimistic estimation on same-distribution data.</w:t>
      </w:r>
    </w:p>
    <w:p w14:paraId="058ECA36" w14:textId="77777777" w:rsidR="00EB4D71" w:rsidRDefault="00000000">
      <w:pPr>
        <w:pStyle w:val="BodyText"/>
      </w:pPr>
      <w:r>
        <w:t xml:space="preserve">Task 1 is less thoroughly evidenced. The notebook preserves comparison outputs, and the production script prints a classification report and feature importances, but separate exported evaluation files are not included. There is also no independent test dataset beyond the stratified split on synthetic data. Across both tasks, no unit-test suite is provided, no automated API tests </w:t>
      </w:r>
      <w:r>
        <w:lastRenderedPageBreak/>
        <w:t>are included for the Flask service, and no independent external datasets are supplied for stronger validation. The submission is therefore demonstrable and inspectable, but it is not a fully validated system in the software-engineering or experimental sense.</w:t>
      </w:r>
    </w:p>
    <w:p w14:paraId="51F02706" w14:textId="77777777" w:rsidR="00EB4D71" w:rsidRDefault="00000000">
      <w:pPr>
        <w:pStyle w:val="Heading1"/>
      </w:pPr>
      <w:r>
        <w:t>Legal, Ethical, Fairness, Accountability and Transparency Considerations</w:t>
      </w:r>
    </w:p>
    <w:p w14:paraId="0515EDDF" w14:textId="77777777" w:rsidR="00EB4D71" w:rsidRDefault="00000000">
      <w:pPr>
        <w:pStyle w:val="BodyText"/>
      </w:pPr>
      <w:r>
        <w:t>The main fairness risk in Task 1 is that a recommendation model trained on historical patterns may reinforce whatever purchasing biases are present in the data (Mehrabi et al., 2021). Because the Task 1 dataset is synthetic, fairness cannot be assessed against real user groups, which limits any strong claim about equitable performance. Task 2 raises different concerns: image quality, lighting, and capture conditions may affect both classification and grading, potentially disadvantaging producers whose images are poorer even when produce quality is acceptable.</w:t>
      </w:r>
    </w:p>
    <w:p w14:paraId="35532B93" w14:textId="77777777" w:rsidR="00EB4D71" w:rsidRDefault="00000000">
      <w:pPr>
        <w:pStyle w:val="BodyText"/>
      </w:pPr>
      <w:r>
        <w:t>Accountability and transparency are partly addressed but not fully solved. Task 1 offers feature-importance outputs, which help indicate which variables matter, but they do not explain individual predictions in detail. Task 2 is more transparent at the grading stage because the code produces explicit explanations for thresholds met or missed, yet the MobileNetV2 classifier remains comparatively opaque (Guidotti et al., 2018). For both tasks, higher-impact actions such as stock removal or customer-facing recommendations would still benefit from human oversight, especially while evaluation evidence remains limited.</w:t>
      </w:r>
    </w:p>
    <w:p w14:paraId="52BB7CA5" w14:textId="77777777" w:rsidR="00EB4D71" w:rsidRDefault="00000000">
      <w:pPr>
        <w:pStyle w:val="Heading1"/>
      </w:pPr>
      <w:r>
        <w:t>Generative AI Use</w:t>
      </w:r>
    </w:p>
    <w:p w14:paraId="7DA9A266" w14:textId="77777777" w:rsidR="00EB4D71" w:rsidRDefault="00000000">
      <w:pPr>
        <w:pStyle w:val="BodyText"/>
      </w:pPr>
      <w:r>
        <w:t>Generative AI was used across coding and report-writing tasks, which aligns with the module brief’s expectation that teams should trial, critique, and report on the usefulness of these tools. In practice, it appears to have been used mainly for debugging errors, explaining unfamiliar library behaviour, generating boilerplate, and helping structure documentation (OpenAI, 2026). That is a plausible use pattern for work involving TensorFlow transfer learning, Flask endpoint structure, and pandas-based feature engineering.</w:t>
      </w:r>
    </w:p>
    <w:p w14:paraId="6FC828CD" w14:textId="77777777" w:rsidR="00EB4D71" w:rsidRDefault="00000000">
      <w:pPr>
        <w:pStyle w:val="BodyText"/>
      </w:pPr>
      <w:r>
        <w:t>Its strengths were speed and accessibility. It could propose starter code, explain unfamiliar errors, and accelerate routine writing or debugging tasks that would otherwise take longer. Its weaknesses were equally important. Generated suggestions could be too generic, could rely on unsuitable APIs, or could produce plausible-looking code and prose that still failed to match the implemented repository. That means the value of GenAI here depended on verification rather than trust. Every accepted output needed manual checking against the files and, where possible, execution or inspection of saved artefacts.</w:t>
      </w:r>
    </w:p>
    <w:p w14:paraId="6CD22327" w14:textId="77777777" w:rsidR="00EB4D71" w:rsidRDefault="00000000">
      <w:pPr>
        <w:pStyle w:val="BodyText"/>
      </w:pPr>
      <w:r>
        <w:t>This makes the GenAI discussion evaluative rather than purely descriptive. The tools were useful as productivity aids and explanation tools, but they also introduced a clear quality-control burden. The project does not include a formal prompt-and-response log, so the exact contribution of GenAI cannot be audited in detail. That limits reproducibility and makes it harder to evaluate systematically which suggestions were accepted, revised, or rejected. Even so, the evidence supports a defensible conclusion: GenAI contributed to development efficiency, but it did not remove the need for technical judgement, testing, or evidence checking.</w:t>
      </w:r>
    </w:p>
    <w:p w14:paraId="549B718C" w14:textId="77777777" w:rsidR="00EB4D71" w:rsidRDefault="00000000">
      <w:pPr>
        <w:pStyle w:val="Heading1"/>
      </w:pPr>
      <w:r>
        <w:t>Limitations</w:t>
      </w:r>
    </w:p>
    <w:p w14:paraId="6A5FF4BA" w14:textId="77777777" w:rsidR="00EB4D71" w:rsidRDefault="00000000">
      <w:pPr>
        <w:pStyle w:val="BodyText"/>
      </w:pPr>
      <w:r>
        <w:t>The main limitations are evidential rather than presentational. Task 1 depends on synthetic data and may contain feature leakage through variables such as line_total. Task 2 evaluation is based on a validation subset used as a test proxy, and the image dataset itself is not included in the submitted zip, so the saved results can be inspected but not independently regenerated from the submission alone. The grading thresholds are heuristic and not externally validated. More broadly, both tasks lack strong evidence of generalisation to genuinely new operational data.</w:t>
      </w:r>
    </w:p>
    <w:p w14:paraId="7E3C80D9" w14:textId="77777777" w:rsidR="00EB4D71" w:rsidRDefault="00000000">
      <w:pPr>
        <w:pStyle w:val="Heading1"/>
      </w:pPr>
      <w:r>
        <w:t>Conclusion</w:t>
      </w:r>
    </w:p>
    <w:p w14:paraId="7227F9A4" w14:textId="77777777" w:rsidR="00EB4D71" w:rsidRDefault="00000000">
      <w:pPr>
        <w:pStyle w:val="BodyText"/>
      </w:pPr>
      <w:r>
        <w:t>The submission demonstrates two working AI components for the Bristol Regional Food Network: a structured-data ordering model and an image-based produce-inspection service with grading logic. This satisfies the hybrid-system objective most convincingly at the project level, where supervised machine learning, transfer learning, and rule-based decision support are combined across related decision problems within one case-study domain.</w:t>
      </w:r>
    </w:p>
    <w:p w14:paraId="02A10FAE" w14:textId="77777777" w:rsidR="00EB4D71" w:rsidRDefault="00000000">
      <w:pPr>
        <w:pStyle w:val="BodyText"/>
      </w:pPr>
      <w:r>
        <w:t>The strongest evidence is the presence of working scripts, saved artefacts, a callable Flask endpoint, and clear Task 2 evaluation outputs. The main weaknesses are synthetic Task 1 data, incomplete independent testing, heuristic grading, missing Task 2 dataset files, and limited formal tracking of GenAI use. On that basis, the most defensible recommendation is adoption only after further work rather than immediate operational use. Further work should prioritise real data, independent test sets, validation of grading thresholds, and broader testing of service reliability.</w:t>
      </w:r>
    </w:p>
    <w:p w14:paraId="77E32680" w14:textId="77777777" w:rsidR="00EB4D71" w:rsidRDefault="00000000">
      <w:pPr>
        <w:pStyle w:val="Heading5"/>
      </w:pPr>
      <w:r>
        <w:t>References</w:t>
      </w:r>
    </w:p>
    <w:p w14:paraId="604907B8" w14:textId="77777777" w:rsidR="00EB4D71" w:rsidRDefault="00000000">
      <w:pPr>
        <w:pStyle w:val="references"/>
        <w:numPr>
          <w:ilvl w:val="0"/>
          <w:numId w:val="0"/>
        </w:numPr>
        <w:ind w:left="354" w:hanging="354"/>
      </w:pPr>
      <w:r>
        <w:t xml:space="preserve">Abadi, M. et al. (2016) ‘TensorFlow: Large-scale machine learning on heterogeneous distributed systems’. Available at: </w:t>
      </w:r>
      <w:hyperlink r:id="rId9">
        <w:r>
          <w:rPr>
            <w:color w:val="0563C1"/>
            <w:u w:val="single"/>
          </w:rPr>
          <w:t>https://arxiv.org/abs/1603.04467</w:t>
        </w:r>
      </w:hyperlink>
      <w:r>
        <w:t xml:space="preserve"> (Accessed: 24 April 2026).</w:t>
      </w:r>
    </w:p>
    <w:p w14:paraId="6CB9FB21" w14:textId="77777777" w:rsidR="00EB4D71" w:rsidRDefault="00000000">
      <w:pPr>
        <w:pStyle w:val="references"/>
        <w:numPr>
          <w:ilvl w:val="0"/>
          <w:numId w:val="0"/>
        </w:numPr>
        <w:ind w:left="354" w:hanging="354"/>
      </w:pPr>
      <w:r>
        <w:t xml:space="preserve">Breiman, L. (2001) ‘Random forests’, Machine Learning, 45, pp. 5–32. doi: </w:t>
      </w:r>
      <w:hyperlink r:id="rId10">
        <w:r>
          <w:rPr>
            <w:color w:val="0563C1"/>
            <w:u w:val="single"/>
          </w:rPr>
          <w:t>10.1023/A:1010933404324</w:t>
        </w:r>
      </w:hyperlink>
      <w:r>
        <w:t>.</w:t>
      </w:r>
    </w:p>
    <w:p w14:paraId="35E4004C" w14:textId="77777777" w:rsidR="00EB4D71" w:rsidRDefault="00000000">
      <w:pPr>
        <w:pStyle w:val="references"/>
        <w:numPr>
          <w:ilvl w:val="0"/>
          <w:numId w:val="0"/>
        </w:numPr>
        <w:ind w:left="354" w:hanging="354"/>
      </w:pPr>
      <w:r>
        <w:t>Bradski, G. (2000) ‘The OpenCV Library’, Dr. Dobb’s Journal of Software Tools, 25(11), pp. 120–125.</w:t>
      </w:r>
    </w:p>
    <w:p w14:paraId="06EC3F40" w14:textId="77777777" w:rsidR="00EB4D71" w:rsidRDefault="00000000">
      <w:pPr>
        <w:pStyle w:val="references"/>
        <w:numPr>
          <w:ilvl w:val="0"/>
          <w:numId w:val="0"/>
        </w:numPr>
        <w:ind w:left="354" w:hanging="354"/>
      </w:pPr>
      <w:r>
        <w:t xml:space="preserve">Chen, T. and Guestrin, C. (2016) ‘XGBoost: A scalable tree boosting system’, in Proceedings of the 22nd ACM SIGKDD International Conference on Knowledge Discovery and Data Mining. New York: ACM, pp. 785–794. doi: </w:t>
      </w:r>
      <w:hyperlink r:id="rId11">
        <w:r>
          <w:rPr>
            <w:color w:val="0563C1"/>
            <w:u w:val="single"/>
          </w:rPr>
          <w:t>10.1145/2939672.2939785</w:t>
        </w:r>
      </w:hyperlink>
      <w:r>
        <w:t>.</w:t>
      </w:r>
    </w:p>
    <w:p w14:paraId="30433359" w14:textId="77777777" w:rsidR="00EB4D71" w:rsidRDefault="00000000">
      <w:pPr>
        <w:pStyle w:val="references"/>
        <w:numPr>
          <w:ilvl w:val="0"/>
          <w:numId w:val="0"/>
        </w:numPr>
        <w:ind w:left="354" w:hanging="354"/>
      </w:pPr>
      <w:r>
        <w:t xml:space="preserve">Cortes, C. and Vapnik, V. (1995) ‘Support-vector networks’, Machine Learning, 20, pp. 273–297. doi: </w:t>
      </w:r>
      <w:hyperlink r:id="rId12">
        <w:r>
          <w:rPr>
            <w:color w:val="0563C1"/>
            <w:u w:val="single"/>
          </w:rPr>
          <w:t>10.1007/BF00994018</w:t>
        </w:r>
      </w:hyperlink>
      <w:r>
        <w:t>.</w:t>
      </w:r>
    </w:p>
    <w:p w14:paraId="1D15A08C" w14:textId="77777777" w:rsidR="00EB4D71" w:rsidRDefault="00000000">
      <w:pPr>
        <w:pStyle w:val="references"/>
        <w:numPr>
          <w:ilvl w:val="0"/>
          <w:numId w:val="0"/>
        </w:numPr>
        <w:ind w:left="354" w:hanging="354"/>
      </w:pPr>
      <w:r>
        <w:t xml:space="preserve">Guidotti, R. et al. (2018) ‘A survey of methods for explaining black box models’, ACM Computing Surveys, 51(5), Article 93. doi: </w:t>
      </w:r>
      <w:hyperlink r:id="rId13">
        <w:r>
          <w:rPr>
            <w:color w:val="0563C1"/>
            <w:u w:val="single"/>
          </w:rPr>
          <w:t>10.1145/3236009</w:t>
        </w:r>
      </w:hyperlink>
      <w:r>
        <w:t>.</w:t>
      </w:r>
    </w:p>
    <w:p w14:paraId="61BCCBB6" w14:textId="77777777" w:rsidR="00EB4D71" w:rsidRDefault="00000000">
      <w:pPr>
        <w:pStyle w:val="references"/>
        <w:numPr>
          <w:ilvl w:val="0"/>
          <w:numId w:val="0"/>
        </w:numPr>
        <w:ind w:left="354" w:hanging="354"/>
      </w:pPr>
      <w:r>
        <w:t xml:space="preserve">Mehrabi, N. et al. (2021) ‘A survey on bias and fairness in machine learning’, ACM Computing Surveys, 54(6), pp. 1–35. doi: </w:t>
      </w:r>
      <w:hyperlink r:id="rId14">
        <w:r>
          <w:rPr>
            <w:color w:val="0563C1"/>
            <w:u w:val="single"/>
          </w:rPr>
          <w:t>10.1145/3457607</w:t>
        </w:r>
      </w:hyperlink>
      <w:r>
        <w:t>.</w:t>
      </w:r>
    </w:p>
    <w:p w14:paraId="22DFEF71" w14:textId="77777777" w:rsidR="00EB4D71" w:rsidRDefault="00000000">
      <w:pPr>
        <w:pStyle w:val="references"/>
        <w:numPr>
          <w:ilvl w:val="0"/>
          <w:numId w:val="0"/>
        </w:numPr>
        <w:ind w:left="354" w:hanging="354"/>
      </w:pPr>
      <w:r>
        <w:t xml:space="preserve">OpenAI (2026) ChatGPT. Available at: </w:t>
      </w:r>
      <w:hyperlink r:id="rId15">
        <w:r>
          <w:rPr>
            <w:color w:val="0563C1"/>
            <w:u w:val="single"/>
          </w:rPr>
          <w:t>https://openai.com/chatgpt/</w:t>
        </w:r>
      </w:hyperlink>
      <w:r>
        <w:t xml:space="preserve"> (Accessed: 24 April 2026).</w:t>
      </w:r>
    </w:p>
    <w:p w14:paraId="03F1923A" w14:textId="77777777" w:rsidR="00EB4D71" w:rsidRDefault="00000000">
      <w:pPr>
        <w:pStyle w:val="references"/>
        <w:numPr>
          <w:ilvl w:val="0"/>
          <w:numId w:val="0"/>
        </w:numPr>
        <w:ind w:left="354" w:hanging="354"/>
      </w:pPr>
      <w:r>
        <w:t>Pedregosa, F. et al. (2011) ‘Scikit-learn: Machine learning in Python’, Journal of Machine Learning Research, 12, pp. 2825–2830.</w:t>
      </w:r>
    </w:p>
    <w:p w14:paraId="65837C2E" w14:textId="77777777" w:rsidR="00EB4D71" w:rsidRDefault="00000000">
      <w:pPr>
        <w:pStyle w:val="references"/>
        <w:numPr>
          <w:ilvl w:val="0"/>
          <w:numId w:val="0"/>
        </w:numPr>
        <w:ind w:left="354" w:hanging="354"/>
      </w:pPr>
      <w:r>
        <w:t xml:space="preserve">Sandler, M., Howard, A., Zhu, M., Zhmoginov, A. and Chen, L.-C. (2018) ‘MobileNetV2: Inverted residuals and linear bottlenecks’, in Proceedings of the IEEE Conference on Computer Vision and Pattern Recognition. pp. 4510–4520. doi: </w:t>
      </w:r>
      <w:hyperlink r:id="rId16">
        <w:r>
          <w:rPr>
            <w:color w:val="0563C1"/>
            <w:u w:val="single"/>
          </w:rPr>
          <w:t>10.1109/CVPR.2018.00474</w:t>
        </w:r>
      </w:hyperlink>
      <w:r>
        <w:t>.</w:t>
      </w:r>
    </w:p>
    <w:p w14:paraId="003FEB00" w14:textId="77777777" w:rsidR="00EB4D71" w:rsidRDefault="00000000">
      <w:pPr>
        <w:pStyle w:val="references"/>
        <w:numPr>
          <w:ilvl w:val="0"/>
          <w:numId w:val="0"/>
        </w:numPr>
        <w:ind w:left="354" w:hanging="354"/>
      </w:pPr>
      <w:r>
        <w:lastRenderedPageBreak/>
        <w:t xml:space="preserve">Sokolova, M. and Lapalme, G. (2009) ‘A systematic analysis of performance measures for classification tasks’, Information Processing and Management, 45(4), pp. 427–437. doi: </w:t>
      </w:r>
      <w:hyperlink r:id="rId17">
        <w:r>
          <w:rPr>
            <w:color w:val="0563C1"/>
            <w:u w:val="single"/>
          </w:rPr>
          <w:t>10.1016/j.ipm.2009.03.002</w:t>
        </w:r>
      </w:hyperlink>
      <w:r>
        <w:t>.</w:t>
      </w:r>
    </w:p>
    <w:p w14:paraId="2F26FCE6" w14:textId="77777777" w:rsidR="00EB4D71" w:rsidRDefault="00000000">
      <w:pPr>
        <w:pStyle w:val="references"/>
        <w:numPr>
          <w:ilvl w:val="0"/>
          <w:numId w:val="0"/>
        </w:numPr>
        <w:ind w:left="354" w:hanging="354"/>
      </w:pPr>
      <w:r>
        <w:t>UWE Bristol (2026) Advanced Artificial Intelligence Assessment Brief: UFCFUR-15-3. Bristol: UWE Bristol.</w:t>
      </w:r>
    </w:p>
    <w:sectPr w:rsidR="00EB4D71">
      <w:type w:val="continuous"/>
      <w:pgSz w:w="11906" w:h="16838"/>
      <w:pgMar w:top="540" w:right="893" w:bottom="1440" w:left="893"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FAA7C" w14:textId="77777777" w:rsidR="00321E1E" w:rsidRDefault="00321E1E">
      <w:r>
        <w:separator/>
      </w:r>
    </w:p>
  </w:endnote>
  <w:endnote w:type="continuationSeparator" w:id="0">
    <w:p w14:paraId="59F9A694" w14:textId="77777777" w:rsidR="00321E1E" w:rsidRDefault="00321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SimSun;宋体">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charset w:val="00"/>
    <w:family w:val="swiss"/>
    <w:pitch w:val="variable"/>
  </w:font>
  <w:font w:name="Noto Sans CJK SC">
    <w:panose1 w:val="00000000000000000000"/>
    <w:charset w:val="00"/>
    <w:family w:val="roman"/>
    <w:notTrueType/>
    <w:pitch w:val="default"/>
  </w:font>
  <w:font w:name="MS Mincho;ＭＳ 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E44B" w14:textId="77777777" w:rsidR="0070276D" w:rsidRDefault="007027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10C9" w14:textId="77777777" w:rsidR="0070276D" w:rsidRDefault="00000000">
    <w:pPr>
      <w:pStyle w:val="Footer"/>
      <w:jc w:val="left"/>
      <w:rPr>
        <w:rFonts w:eastAsia="Times New Roman"/>
        <w:sz w:val="16"/>
        <w:szCs w:val="16"/>
        <w:lang w:val="en-GB"/>
      </w:rPr>
    </w:pPr>
    <w:r>
      <w:rPr>
        <w:rFonts w:eastAsia="Times New Roman"/>
        <w:sz w:val="16"/>
        <w:szCs w:val="16"/>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7E48B" w14:textId="77777777" w:rsidR="00321E1E" w:rsidRDefault="00321E1E">
      <w:r>
        <w:separator/>
      </w:r>
    </w:p>
  </w:footnote>
  <w:footnote w:type="continuationSeparator" w:id="0">
    <w:p w14:paraId="5ABE4A04" w14:textId="77777777" w:rsidR="00321E1E" w:rsidRDefault="00321E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33FB1"/>
    <w:multiLevelType w:val="multilevel"/>
    <w:tmpl w:val="3578989C"/>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AD37BE6"/>
    <w:multiLevelType w:val="multilevel"/>
    <w:tmpl w:val="F98AC26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18C6033"/>
    <w:multiLevelType w:val="multilevel"/>
    <w:tmpl w:val="9314CF0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AAF7054"/>
    <w:multiLevelType w:val="multilevel"/>
    <w:tmpl w:val="42F05DC0"/>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F617AE8"/>
    <w:multiLevelType w:val="multilevel"/>
    <w:tmpl w:val="DBE463CE"/>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34346BB"/>
    <w:multiLevelType w:val="multilevel"/>
    <w:tmpl w:val="7C78A154"/>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6" w15:restartNumberingAfterBreak="0">
    <w:nsid w:val="74CC7609"/>
    <w:multiLevelType w:val="multilevel"/>
    <w:tmpl w:val="0952E79A"/>
    <w:lvl w:ilvl="0">
      <w:start w:val="1"/>
      <w:numFmt w:val="lowerLetter"/>
      <w:pStyle w:val="tablefootnote"/>
      <w:lvlText w:val="%1."/>
      <w:lvlJc w:val="right"/>
      <w:pPr>
        <w:tabs>
          <w:tab w:val="num" w:pos="0"/>
        </w:tabs>
        <w:ind w:left="418" w:hanging="360"/>
      </w:pPr>
      <w:rPr>
        <w:rFonts w:ascii="Times New Roman" w:hAnsi="Times New Roman" w:cs="Times New Roman"/>
        <w:b w:val="0"/>
        <w:i w:val="0"/>
        <w:caps w:val="0"/>
        <w:smallCaps w:val="0"/>
        <w:strike w:val="0"/>
        <w:dstrike w:val="0"/>
        <w:vanish w:val="0"/>
        <w:color w:val="000000"/>
        <w:spacing w:val="0"/>
        <w:w w:val="100"/>
        <w:kern w:val="0"/>
        <w:position w:val="0"/>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94361475">
    <w:abstractNumId w:val="5"/>
  </w:num>
  <w:num w:numId="2" w16cid:durableId="157156868">
    <w:abstractNumId w:val="2"/>
  </w:num>
  <w:num w:numId="3" w16cid:durableId="1864634163">
    <w:abstractNumId w:val="3"/>
  </w:num>
  <w:num w:numId="4" w16cid:durableId="1854294239">
    <w:abstractNumId w:val="6"/>
  </w:num>
  <w:num w:numId="5" w16cid:durableId="1772167697">
    <w:abstractNumId w:val="1"/>
  </w:num>
  <w:num w:numId="6" w16cid:durableId="65416250">
    <w:abstractNumId w:val="0"/>
  </w:num>
  <w:num w:numId="7" w16cid:durableId="1721440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76D"/>
    <w:rsid w:val="000A2E38"/>
    <w:rsid w:val="002B5F15"/>
    <w:rsid w:val="002F552E"/>
    <w:rsid w:val="00321E1E"/>
    <w:rsid w:val="0070276D"/>
    <w:rsid w:val="007B42E0"/>
    <w:rsid w:val="00950FC8"/>
    <w:rsid w:val="009A6A0A"/>
    <w:rsid w:val="00AB2A52"/>
    <w:rsid w:val="00C67660"/>
    <w:rsid w:val="00EB4D7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6D14"/>
  <w15:docId w15:val="{B81CDCC1-E3E3-4FC0-A20A-BB975C8A4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rFonts w:ascii="Times New Roman" w:eastAsia="SimSun;宋体" w:hAnsi="Times New Roman" w:cs="Times New Roman"/>
      <w:sz w:val="20"/>
      <w:szCs w:val="20"/>
      <w:lang w:bidi="ar-SA"/>
    </w:rPr>
  </w:style>
  <w:style w:type="paragraph" w:styleId="Heading1">
    <w:name w:val="heading 1"/>
    <w:basedOn w:val="Normal"/>
    <w:next w:val="Normal"/>
    <w:uiPriority w:val="9"/>
    <w:qFormat/>
    <w:pPr>
      <w:keepNext/>
      <w:keepLines/>
      <w:numPr>
        <w:numId w:val="1"/>
      </w:numPr>
      <w:tabs>
        <w:tab w:val="left" w:pos="216"/>
      </w:tabs>
      <w:spacing w:before="160" w:after="80"/>
      <w:ind w:firstLine="0"/>
      <w:outlineLvl w:val="0"/>
    </w:pPr>
    <w:rPr>
      <w:smallCaps/>
      <w:lang w:eastAsia="en-US"/>
    </w:rPr>
  </w:style>
  <w:style w:type="paragraph" w:styleId="Heading2">
    <w:name w:val="heading 2"/>
    <w:basedOn w:val="Normal"/>
    <w:next w:val="Normal"/>
    <w:uiPriority w:val="9"/>
    <w:unhideWhenUsed/>
    <w:qFormat/>
    <w:pPr>
      <w:keepNext/>
      <w:keepLines/>
      <w:numPr>
        <w:ilvl w:val="1"/>
        <w:numId w:val="1"/>
      </w:numPr>
      <w:tabs>
        <w:tab w:val="left" w:pos="288"/>
      </w:tabs>
      <w:spacing w:before="120" w:after="60"/>
      <w:jc w:val="left"/>
      <w:outlineLvl w:val="1"/>
    </w:pPr>
    <w:rPr>
      <w:i/>
      <w:iCs/>
      <w:lang w:eastAsia="en-US"/>
    </w:rPr>
  </w:style>
  <w:style w:type="paragraph" w:styleId="Heading3">
    <w:name w:val="heading 3"/>
    <w:basedOn w:val="Normal"/>
    <w:next w:val="Normal"/>
    <w:uiPriority w:val="9"/>
    <w:unhideWhenUsed/>
    <w:qFormat/>
    <w:pPr>
      <w:numPr>
        <w:ilvl w:val="2"/>
        <w:numId w:val="1"/>
      </w:numPr>
      <w:spacing w:line="240" w:lineRule="exact"/>
      <w:ind w:firstLine="288"/>
      <w:jc w:val="both"/>
      <w:outlineLvl w:val="2"/>
    </w:pPr>
    <w:rPr>
      <w:i/>
      <w:iCs/>
      <w:lang w:eastAsia="en-US"/>
    </w:rPr>
  </w:style>
  <w:style w:type="paragraph" w:styleId="Heading4">
    <w:name w:val="heading 4"/>
    <w:basedOn w:val="Normal"/>
    <w:next w:val="Normal"/>
    <w:uiPriority w:val="9"/>
    <w:unhideWhenUsed/>
    <w:qFormat/>
    <w:pPr>
      <w:numPr>
        <w:ilvl w:val="3"/>
        <w:numId w:val="1"/>
      </w:numPr>
      <w:tabs>
        <w:tab w:val="left" w:pos="720"/>
      </w:tabs>
      <w:spacing w:before="40" w:after="40"/>
      <w:ind w:firstLine="504"/>
      <w:jc w:val="both"/>
      <w:outlineLvl w:val="3"/>
    </w:pPr>
    <w:rPr>
      <w:i/>
      <w:iCs/>
      <w:lang w:eastAsia="en-US"/>
    </w:rPr>
  </w:style>
  <w:style w:type="paragraph" w:styleId="Heading5">
    <w:name w:val="heading 5"/>
    <w:basedOn w:val="Normal"/>
    <w:next w:val="Normal"/>
    <w:uiPriority w:val="9"/>
    <w:unhideWhenUsed/>
    <w:qFormat/>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rPr>
      <w:rFonts w:ascii="Symbol" w:hAnsi="Symbol" w:cs="Symbol"/>
    </w:rPr>
  </w:style>
  <w:style w:type="character" w:customStyle="1" w:styleId="WW8Num11z0">
    <w:name w:val="WW8Num11z0"/>
    <w:qFormat/>
    <w:rPr>
      <w:rFonts w:ascii="Symbol" w:hAnsi="Symbol" w:cs="Symbol"/>
    </w:rPr>
  </w:style>
  <w:style w:type="character" w:customStyle="1" w:styleId="WW8Num13z0">
    <w:name w:val="WW8Num13z0"/>
    <w:qFormat/>
    <w:rPr>
      <w:rFonts w:cs="Times New Roman"/>
      <w:i w:val="0"/>
      <w:iCs w:val="0"/>
    </w:rPr>
  </w:style>
  <w:style w:type="character" w:customStyle="1" w:styleId="WW8Num13z1">
    <w:name w:val="WW8Num13z1"/>
    <w:qFormat/>
    <w:rPr>
      <w:rFonts w:cs="Times New Roman"/>
    </w:rPr>
  </w:style>
  <w:style w:type="character" w:customStyle="1" w:styleId="WW8Num14z0">
    <w:name w:val="WW8Num14z0"/>
    <w:qFormat/>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4z1">
    <w:name w:val="WW8Num14z1"/>
    <w:qFormat/>
    <w:rPr>
      <w:rFonts w:cs="Times New Roman"/>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cs="Times New Roman"/>
    </w:rPr>
  </w:style>
  <w:style w:type="character" w:customStyle="1" w:styleId="WW8Num17z0">
    <w:name w:val="WW8Num17z0"/>
    <w:qFormat/>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7z1">
    <w:name w:val="WW8Num17z1"/>
    <w:qFormat/>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7z3">
    <w:name w:val="WW8Num17z3"/>
    <w:qFormat/>
    <w:rPr>
      <w:rFonts w:ascii="Times New Roman" w:hAnsi="Times New Roman" w:cs="Times New Roman"/>
      <w:b w:val="0"/>
      <w:bCs w:val="0"/>
      <w:i/>
      <w:iCs/>
      <w:sz w:val="20"/>
      <w:szCs w:val="20"/>
    </w:rPr>
  </w:style>
  <w:style w:type="character" w:customStyle="1" w:styleId="WW8Num17z4">
    <w:name w:val="WW8Num17z4"/>
    <w:qFormat/>
    <w:rPr>
      <w:rFonts w:cs="Times New Roman"/>
    </w:rPr>
  </w:style>
  <w:style w:type="character" w:customStyle="1" w:styleId="WW8Num18z0">
    <w:name w:val="WW8Num18z0"/>
    <w:qFormat/>
    <w:rPr>
      <w:rFonts w:ascii="Times New Roman" w:hAnsi="Times New Roman" w:cs="Times New Roman"/>
      <w:b w:val="0"/>
      <w:i w:val="0"/>
      <w:caps w:val="0"/>
      <w:smallCaps w:val="0"/>
      <w:strike w:val="0"/>
      <w:dstrike w:val="0"/>
      <w:vanish w:val="0"/>
      <w:color w:val="000000"/>
      <w:spacing w:val="0"/>
      <w:w w:val="100"/>
      <w:kern w:val="0"/>
      <w:position w:val="0"/>
      <w:sz w:val="16"/>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9z0">
    <w:name w:val="WW8Num19z0"/>
    <w:qFormat/>
    <w:rPr>
      <w:rFonts w:ascii="Times New Roman" w:hAnsi="Times New Roman" w:cs="Times New Roman"/>
      <w:b w:val="0"/>
      <w:bCs w:val="0"/>
      <w:i w:val="0"/>
      <w:iCs w:val="0"/>
      <w:sz w:val="16"/>
      <w:szCs w:val="16"/>
    </w:rPr>
  </w:style>
  <w:style w:type="character" w:customStyle="1" w:styleId="WW8Num20z0">
    <w:name w:val="WW8Num20z0"/>
    <w:qFormat/>
    <w:rPr>
      <w:rFonts w:ascii="Times New Roman" w:hAnsi="Times New Roman" w:cs="Times New Roman"/>
      <w:b w:val="0"/>
      <w:bCs w:val="0"/>
      <w:i w:val="0"/>
      <w:iCs w:val="0"/>
      <w:color w:val="000000"/>
      <w:sz w:val="16"/>
      <w:szCs w:val="16"/>
    </w:rPr>
  </w:style>
  <w:style w:type="character" w:customStyle="1" w:styleId="WW8Num20z1">
    <w:name w:val="WW8Num20z1"/>
    <w:qFormat/>
    <w:rPr>
      <w:rFonts w:cs="Times New Roman"/>
    </w:rPr>
  </w:style>
  <w:style w:type="character" w:customStyle="1" w:styleId="WW8Num21z0">
    <w:name w:val="WW8Num21z0"/>
    <w:qFormat/>
    <w:rPr>
      <w:rFonts w:ascii="Times New Roman" w:hAnsi="Times New Roman" w:cs="Times New Roman"/>
      <w:b w:val="0"/>
      <w:bCs w:val="0"/>
      <w:i w:val="0"/>
      <w:iCs w:val="0"/>
      <w:sz w:val="16"/>
      <w:szCs w:val="16"/>
    </w:rPr>
  </w:style>
  <w:style w:type="character" w:customStyle="1" w:styleId="BodyTextChar">
    <w:name w:val="Body Text Char"/>
    <w:qFormat/>
    <w:rPr>
      <w:spacing w:val="-1"/>
      <w:lang w:val="en-US"/>
    </w:rPr>
  </w:style>
  <w:style w:type="character" w:customStyle="1" w:styleId="HeaderChar">
    <w:name w:val="Header Char"/>
    <w:basedOn w:val="DefaultParagraphFont"/>
    <w:qFormat/>
  </w:style>
  <w:style w:type="character" w:customStyle="1" w:styleId="FooterChar">
    <w:name w:val="Footer Char"/>
    <w:basedOn w:val="DefaultParagraphFont"/>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tabs>
        <w:tab w:val="left" w:pos="288"/>
      </w:tabs>
      <w:spacing w:after="120" w:line="228" w:lineRule="auto"/>
      <w:ind w:firstLine="288"/>
      <w:jc w:val="both"/>
    </w:pPr>
    <w:rPr>
      <w:spacing w:val="-1"/>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pPr>
      <w:spacing w:after="200"/>
      <w:ind w:firstLine="272"/>
      <w:jc w:val="both"/>
    </w:pPr>
    <w:rPr>
      <w:rFonts w:ascii="Times New Roman" w:eastAsia="SimSun;宋体" w:hAnsi="Times New Roman" w:cs="Times New Roman"/>
      <w:b/>
      <w:bCs/>
      <w:sz w:val="18"/>
      <w:szCs w:val="18"/>
      <w:lang w:bidi="ar-SA"/>
    </w:rPr>
  </w:style>
  <w:style w:type="paragraph" w:customStyle="1" w:styleId="Affiliation">
    <w:name w:val="Affiliation"/>
    <w:qFormat/>
    <w:pPr>
      <w:jc w:val="center"/>
    </w:pPr>
    <w:rPr>
      <w:rFonts w:ascii="Times New Roman" w:eastAsia="SimSun;宋体" w:hAnsi="Times New Roman" w:cs="Times New Roman"/>
      <w:sz w:val="20"/>
      <w:szCs w:val="20"/>
      <w:lang w:bidi="ar-SA"/>
    </w:rPr>
  </w:style>
  <w:style w:type="paragraph" w:customStyle="1" w:styleId="Author">
    <w:name w:val="Author"/>
    <w:qFormat/>
    <w:pPr>
      <w:spacing w:before="360" w:after="40"/>
      <w:jc w:val="center"/>
    </w:pPr>
    <w:rPr>
      <w:rFonts w:ascii="Times New Roman" w:eastAsia="SimSun;宋体" w:hAnsi="Times New Roman" w:cs="Times New Roman"/>
      <w:sz w:val="22"/>
      <w:szCs w:val="22"/>
      <w:lang w:eastAsia="en-US" w:bidi="ar-SA"/>
    </w:rPr>
  </w:style>
  <w:style w:type="paragraph" w:customStyle="1" w:styleId="bulletlist">
    <w:name w:val="bullet list"/>
    <w:basedOn w:val="BodyText"/>
    <w:qFormat/>
    <w:pPr>
      <w:numPr>
        <w:numId w:val="3"/>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6"/>
      </w:numPr>
      <w:tabs>
        <w:tab w:val="left" w:pos="533"/>
      </w:tabs>
      <w:spacing w:before="80" w:after="200"/>
      <w:ind w:left="0" w:firstLine="0"/>
      <w:jc w:val="both"/>
    </w:pPr>
    <w:rPr>
      <w:rFonts w:ascii="Times New Roman" w:eastAsia="SimSun;宋体" w:hAnsi="Times New Roman" w:cs="Times New Roman"/>
      <w:sz w:val="16"/>
      <w:szCs w:val="16"/>
      <w:lang w:eastAsia="en-US" w:bidi="ar-SA"/>
    </w:rPr>
  </w:style>
  <w:style w:type="paragraph" w:customStyle="1" w:styleId="footnote">
    <w:name w:val="footnote"/>
    <w:qFormat/>
    <w:pPr>
      <w:numPr>
        <w:numId w:val="2"/>
      </w:numPr>
      <w:spacing w:after="40"/>
    </w:pPr>
    <w:rPr>
      <w:rFonts w:ascii="Times New Roman" w:eastAsia="SimSun;宋体" w:hAnsi="Times New Roman" w:cs="Times New Roman"/>
      <w:sz w:val="16"/>
      <w:szCs w:val="16"/>
      <w:lang w:bidi="ar-SA"/>
    </w:rPr>
  </w:style>
  <w:style w:type="paragraph" w:customStyle="1" w:styleId="papersubtitle">
    <w:name w:val="paper subtitle"/>
    <w:qFormat/>
    <w:pPr>
      <w:spacing w:after="120"/>
      <w:jc w:val="center"/>
    </w:pPr>
    <w:rPr>
      <w:rFonts w:ascii="Times New Roman" w:eastAsia="MS Mincho;ＭＳ 明朝" w:hAnsi="Times New Roman" w:cs="Times New Roman"/>
      <w:sz w:val="28"/>
      <w:szCs w:val="28"/>
      <w:lang w:eastAsia="en-US" w:bidi="ar-SA"/>
    </w:rPr>
  </w:style>
  <w:style w:type="paragraph" w:customStyle="1" w:styleId="papertitle">
    <w:name w:val="paper title"/>
    <w:qFormat/>
    <w:pPr>
      <w:spacing w:after="120"/>
      <w:jc w:val="center"/>
    </w:pPr>
    <w:rPr>
      <w:rFonts w:ascii="Times New Roman" w:eastAsia="MS Mincho;ＭＳ 明朝" w:hAnsi="Times New Roman" w:cs="Times New Roman"/>
      <w:sz w:val="48"/>
      <w:szCs w:val="48"/>
      <w:lang w:eastAsia="en-US" w:bidi="ar-SA"/>
    </w:rPr>
  </w:style>
  <w:style w:type="paragraph" w:customStyle="1" w:styleId="references">
    <w:name w:val="references"/>
    <w:qFormat/>
    <w:pPr>
      <w:numPr>
        <w:numId w:val="5"/>
      </w:numPr>
      <w:spacing w:after="50" w:line="180" w:lineRule="exact"/>
      <w:jc w:val="both"/>
    </w:pPr>
    <w:rPr>
      <w:rFonts w:ascii="Times New Roman" w:eastAsia="MS Mincho;ＭＳ 明朝" w:hAnsi="Times New Roman" w:cs="Times New Roman"/>
      <w:sz w:val="16"/>
      <w:szCs w:val="16"/>
      <w:lang w:eastAsia="en-US" w:bidi="ar-SA"/>
    </w:rPr>
  </w:style>
  <w:style w:type="paragraph" w:customStyle="1" w:styleId="sponsors">
    <w:name w:val="sponsors"/>
    <w:qFormat/>
    <w:pPr>
      <w:pBdr>
        <w:top w:val="single" w:sz="4" w:space="2" w:color="000000"/>
      </w:pBdr>
      <w:ind w:firstLine="288"/>
    </w:pPr>
    <w:rPr>
      <w:rFonts w:ascii="Times New Roman" w:eastAsia="SimSun;宋体" w:hAnsi="Times New Roman" w:cs="Times New Roman"/>
      <w:sz w:val="16"/>
      <w:szCs w:val="16"/>
      <w:lang w:bidi="ar-SA"/>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rFonts w:ascii="Times New Roman" w:eastAsia="SimSun;宋体" w:hAnsi="Times New Roman" w:cs="Times New Roman"/>
      <w:sz w:val="16"/>
      <w:szCs w:val="16"/>
      <w:lang w:eastAsia="en-US" w:bidi="ar-SA"/>
    </w:rPr>
  </w:style>
  <w:style w:type="paragraph" w:customStyle="1" w:styleId="tablefootnote">
    <w:name w:val="table footnote"/>
    <w:qFormat/>
    <w:pPr>
      <w:numPr>
        <w:numId w:val="4"/>
      </w:numPr>
      <w:spacing w:before="60" w:after="30"/>
      <w:ind w:left="58" w:hanging="29"/>
      <w:jc w:val="right"/>
    </w:pPr>
    <w:rPr>
      <w:rFonts w:ascii="Times New Roman" w:eastAsia="SimSun;宋体" w:hAnsi="Times New Roman" w:cs="Times New Roman"/>
      <w:sz w:val="12"/>
      <w:szCs w:val="12"/>
      <w:lang w:bidi="ar-SA"/>
    </w:rPr>
  </w:style>
  <w:style w:type="paragraph" w:customStyle="1" w:styleId="tablehead">
    <w:name w:val="table head"/>
    <w:qFormat/>
    <w:pPr>
      <w:numPr>
        <w:numId w:val="7"/>
      </w:numPr>
      <w:spacing w:before="240" w:after="120" w:line="216" w:lineRule="auto"/>
      <w:jc w:val="center"/>
    </w:pPr>
    <w:rPr>
      <w:rFonts w:ascii="Times New Roman" w:eastAsia="SimSun;宋体" w:hAnsi="Times New Roman" w:cs="Times New Roman"/>
      <w:smallCaps/>
      <w:sz w:val="16"/>
      <w:szCs w:val="16"/>
      <w:lang w:eastAsia="en-US" w:bidi="ar-SA"/>
    </w:rPr>
  </w:style>
  <w:style w:type="paragraph" w:customStyle="1" w:styleId="Keywords">
    <w:name w:val="Keywords"/>
    <w:basedOn w:val="Abstract"/>
    <w:qFormat/>
    <w:pPr>
      <w:spacing w:after="120"/>
      <w:ind w:firstLine="274"/>
    </w:pPr>
    <w:rPr>
      <w: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doi.org/10.1145/323600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doi.org/10.1007/BF00994018" TargetMode="External"/><Relationship Id="rId17" Type="http://schemas.openxmlformats.org/officeDocument/2006/relationships/hyperlink" Target="https://doi.org/10.1016/j.ipm.2009.03.002" TargetMode="External"/><Relationship Id="rId2" Type="http://schemas.openxmlformats.org/officeDocument/2006/relationships/styles" Target="styles.xml"/><Relationship Id="rId16" Type="http://schemas.openxmlformats.org/officeDocument/2006/relationships/hyperlink" Target="https://doi.org/10.1109/CVPR.2018.0047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2939672.2939785" TargetMode="External"/><Relationship Id="rId5" Type="http://schemas.openxmlformats.org/officeDocument/2006/relationships/footnotes" Target="footnotes.xml"/><Relationship Id="rId15" Type="http://schemas.openxmlformats.org/officeDocument/2006/relationships/hyperlink" Target="https://openai.com/chatgpt/" TargetMode="External"/><Relationship Id="rId10" Type="http://schemas.openxmlformats.org/officeDocument/2006/relationships/hyperlink" Target="https://doi.org/10.1023/A:101093340432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abs/1603.04467" TargetMode="External"/><Relationship Id="rId14" Type="http://schemas.openxmlformats.org/officeDocument/2006/relationships/hyperlink" Target="https://doi.org/10.1145/3457607"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2777</Words>
  <Characters>15834</Characters>
  <Application>Microsoft Office Word</Application>
  <DocSecurity>0</DocSecurity>
  <Lines>131</Lines>
  <Paragraphs>37</Paragraphs>
  <ScaleCrop>false</ScaleCrop>
  <Company/>
  <LinksUpToDate>false</LinksUpToDate>
  <CharactersWithSpaces>18574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Josh James</cp:lastModifiedBy>
  <cp:revision>4</cp:revision>
  <dcterms:created xsi:type="dcterms:W3CDTF">2026-04-20T16:42:00Z</dcterms:created>
  <dcterms:modified xsi:type="dcterms:W3CDTF">2026-04-24T01:19:00Z</dcterms:modified>
  <dc:language>en-US</dc:language>
</cp:coreProperties>
</file>