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2D5A" w14:textId="42E06B11" w:rsidR="005A46B8" w:rsidRDefault="005A46B8" w:rsidP="005A46B8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AF0">
        <w:rPr>
          <w:rFonts w:ascii="Times New Roman" w:hAnsi="Times New Roman" w:cs="Times New Roman"/>
          <w:sz w:val="28"/>
          <w:szCs w:val="28"/>
        </w:rPr>
        <w:t>INDIVIDUAL ASSIGNMENT FOR DATA ANALYTICS IN BUSINESS</w:t>
      </w:r>
    </w:p>
    <w:p w14:paraId="36783641" w14:textId="3840C554" w:rsidR="005A46B8" w:rsidRDefault="005A46B8" w:rsidP="005A46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ADDITIONAL INFORMATION</w:t>
      </w:r>
    </w:p>
    <w:p w14:paraId="27DEE99B" w14:textId="3EBD3E3F" w:rsidR="00385BDE" w:rsidRPr="00B64AF0" w:rsidRDefault="00385BDE" w:rsidP="005A46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2021-22</w:t>
      </w:r>
    </w:p>
    <w:p w14:paraId="4B50F4C0" w14:textId="77777777" w:rsidR="005C1974" w:rsidRDefault="005C1974" w:rsidP="00385BDE">
      <w:pPr>
        <w:jc w:val="both"/>
        <w:rPr>
          <w:rFonts w:ascii="Times New Roman" w:hAnsi="Times New Roman" w:cs="Times New Roman"/>
        </w:rPr>
      </w:pPr>
    </w:p>
    <w:p w14:paraId="5D6F158E" w14:textId="1246B038" w:rsidR="00827C1C" w:rsidRDefault="005A46B8" w:rsidP="00385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two instructor’s data samples are </w:t>
      </w:r>
      <w:r w:rsidR="00827C1C">
        <w:rPr>
          <w:rFonts w:ascii="Times New Roman" w:hAnsi="Times New Roman" w:cs="Times New Roman"/>
        </w:rPr>
        <w:t>explained</w:t>
      </w:r>
      <w:r>
        <w:rPr>
          <w:rFonts w:ascii="Times New Roman" w:hAnsi="Times New Roman" w:cs="Times New Roman"/>
        </w:rPr>
        <w:t xml:space="preserve"> in this document.</w:t>
      </w:r>
      <w:r w:rsidR="00827C1C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 xml:space="preserve">otential business questions associated with the data sample to finish the tasks specified in the assignment brief are also introduced. </w:t>
      </w:r>
      <w:r w:rsidR="00827C1C">
        <w:rPr>
          <w:rFonts w:ascii="Times New Roman" w:hAnsi="Times New Roman" w:cs="Times New Roman"/>
        </w:rPr>
        <w:t xml:space="preserve">You will find the formatting requirements for the assignment in Appendix </w:t>
      </w:r>
      <w:r w:rsidR="00301A30">
        <w:rPr>
          <w:rFonts w:ascii="Times New Roman" w:hAnsi="Times New Roman" w:cs="Times New Roman"/>
        </w:rPr>
        <w:t>I</w:t>
      </w:r>
      <w:r w:rsidR="00827C1C">
        <w:rPr>
          <w:rFonts w:ascii="Times New Roman" w:hAnsi="Times New Roman" w:cs="Times New Roman"/>
        </w:rPr>
        <w:t>.</w:t>
      </w:r>
    </w:p>
    <w:p w14:paraId="626CE041" w14:textId="2E5A68B1" w:rsidR="00385BDE" w:rsidRDefault="00827C1C" w:rsidP="00385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5A46B8">
        <w:rPr>
          <w:rFonts w:ascii="Times New Roman" w:hAnsi="Times New Roman" w:cs="Times New Roman"/>
        </w:rPr>
        <w:t xml:space="preserve"> you opt for the </w:t>
      </w:r>
      <w:r w:rsidR="00385BDE">
        <w:rPr>
          <w:rFonts w:ascii="Times New Roman" w:hAnsi="Times New Roman" w:cs="Times New Roman"/>
        </w:rPr>
        <w:t xml:space="preserve">data sample and questions introduced in this document you won’t earn the bonus marks (i.e., up to </w:t>
      </w:r>
      <w:r w:rsidR="00385BDE" w:rsidRPr="00385BDE">
        <w:rPr>
          <w:rFonts w:ascii="Times New Roman" w:hAnsi="Times New Roman" w:cs="Times New Roman"/>
          <w:u w:val="single"/>
        </w:rPr>
        <w:t>10 points adjustments</w:t>
      </w:r>
      <w:r w:rsidR="00385BDE">
        <w:rPr>
          <w:rFonts w:ascii="Times New Roman" w:hAnsi="Times New Roman" w:cs="Times New Roman"/>
        </w:rPr>
        <w:t>) as specified in the assignment brief (Page 2 – Assignment Brief Final Remark).</w:t>
      </w:r>
      <w:r w:rsidR="005A46B8">
        <w:rPr>
          <w:rFonts w:ascii="Times New Roman" w:hAnsi="Times New Roman" w:cs="Times New Roman"/>
        </w:rPr>
        <w:t xml:space="preserve"> </w:t>
      </w:r>
      <w:r w:rsidR="0061650B">
        <w:rPr>
          <w:rFonts w:ascii="Times New Roman" w:hAnsi="Times New Roman" w:cs="Times New Roman"/>
        </w:rPr>
        <w:t>However, the bonus marks will still apply if you can extend the instructor’s sample</w:t>
      </w:r>
      <w:r>
        <w:rPr>
          <w:rFonts w:ascii="Times New Roman" w:hAnsi="Times New Roman" w:cs="Times New Roman"/>
        </w:rPr>
        <w:t>s</w:t>
      </w:r>
      <w:r w:rsidR="0061650B">
        <w:rPr>
          <w:rFonts w:ascii="Times New Roman" w:hAnsi="Times New Roman" w:cs="Times New Roman"/>
        </w:rPr>
        <w:t xml:space="preserve">. For example, you might find </w:t>
      </w:r>
      <w:r>
        <w:rPr>
          <w:rFonts w:ascii="Times New Roman" w:hAnsi="Times New Roman" w:cs="Times New Roman"/>
        </w:rPr>
        <w:t>additional</w:t>
      </w:r>
      <w:r w:rsidR="0061650B">
        <w:rPr>
          <w:rFonts w:ascii="Times New Roman" w:hAnsi="Times New Roman" w:cs="Times New Roman"/>
        </w:rPr>
        <w:t xml:space="preserve"> variables</w:t>
      </w:r>
      <w:r w:rsidR="00C914FE">
        <w:rPr>
          <w:rFonts w:ascii="Times New Roman" w:hAnsi="Times New Roman" w:cs="Times New Roman"/>
        </w:rPr>
        <w:t xml:space="preserve"> on either Sample 1 or Sample 2</w:t>
      </w:r>
      <w:r w:rsidR="0061650B">
        <w:rPr>
          <w:rFonts w:ascii="Times New Roman" w:hAnsi="Times New Roman" w:cs="Times New Roman"/>
        </w:rPr>
        <w:t xml:space="preserve"> to construct a</w:t>
      </w:r>
      <w:r>
        <w:rPr>
          <w:rFonts w:ascii="Times New Roman" w:hAnsi="Times New Roman" w:cs="Times New Roman"/>
        </w:rPr>
        <w:t xml:space="preserve"> more</w:t>
      </w:r>
      <w:r w:rsidR="00C914FE">
        <w:rPr>
          <w:rFonts w:ascii="Times New Roman" w:hAnsi="Times New Roman" w:cs="Times New Roman"/>
        </w:rPr>
        <w:t xml:space="preserve"> </w:t>
      </w:r>
      <w:r w:rsidR="0061650B">
        <w:rPr>
          <w:rFonts w:ascii="Times New Roman" w:hAnsi="Times New Roman" w:cs="Times New Roman"/>
        </w:rPr>
        <w:t>extensive data sample.</w:t>
      </w:r>
    </w:p>
    <w:p w14:paraId="654F3911" w14:textId="6C4FDCFC" w:rsidR="005C1974" w:rsidRDefault="00417AD0" w:rsidP="00385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note that you are allowed to use the business questions I introduced in this document for your assignment. However, </w:t>
      </w:r>
      <w:r w:rsidR="00827C1C">
        <w:rPr>
          <w:rFonts w:ascii="Times New Roman" w:hAnsi="Times New Roman" w:cs="Times New Roman"/>
        </w:rPr>
        <w:t xml:space="preserve">you are strongly encouraged to use </w:t>
      </w:r>
      <w:r>
        <w:rPr>
          <w:rFonts w:ascii="Times New Roman" w:hAnsi="Times New Roman" w:cs="Times New Roman"/>
        </w:rPr>
        <w:t>different questions and objectives</w:t>
      </w:r>
      <w:r w:rsidR="00827C1C">
        <w:rPr>
          <w:rFonts w:ascii="Times New Roman" w:hAnsi="Times New Roman" w:cs="Times New Roman"/>
        </w:rPr>
        <w:t xml:space="preserve">. </w:t>
      </w:r>
    </w:p>
    <w:p w14:paraId="390C3CF1" w14:textId="59825C19" w:rsidR="00385BDE" w:rsidRPr="00385BDE" w:rsidRDefault="00385BDE" w:rsidP="00385BDE">
      <w:pPr>
        <w:rPr>
          <w:rFonts w:ascii="Times New Roman" w:hAnsi="Times New Roman" w:cs="Times New Roman"/>
          <w:b/>
          <w:bCs/>
        </w:rPr>
      </w:pPr>
      <w:r w:rsidRPr="00385BDE">
        <w:rPr>
          <w:rFonts w:ascii="Times New Roman" w:hAnsi="Times New Roman" w:cs="Times New Roman"/>
          <w:b/>
          <w:bCs/>
        </w:rPr>
        <w:t xml:space="preserve">Instructor’s Sample </w:t>
      </w:r>
      <w:r>
        <w:rPr>
          <w:rFonts w:ascii="Times New Roman" w:hAnsi="Times New Roman" w:cs="Times New Roman"/>
          <w:b/>
          <w:bCs/>
        </w:rPr>
        <w:t>1</w:t>
      </w:r>
      <w:r w:rsidR="00351905">
        <w:rPr>
          <w:rFonts w:ascii="Times New Roman" w:hAnsi="Times New Roman" w:cs="Times New Roman"/>
          <w:b/>
          <w:bCs/>
        </w:rPr>
        <w:t xml:space="preserve"> and Indicative Example</w:t>
      </w:r>
    </w:p>
    <w:p w14:paraId="0F7DE9E0" w14:textId="7FDEEFEA" w:rsidR="00351905" w:rsidRDefault="005C1974" w:rsidP="003519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Instructor’s Sample 1</w:t>
      </w:r>
      <w:r w:rsidR="0061650B">
        <w:rPr>
          <w:rFonts w:ascii="Times New Roman" w:hAnsi="Times New Roman" w:cs="Times New Roman"/>
        </w:rPr>
        <w:t xml:space="preserve"> contains all S&amp;P 1500 companies listed in the US stock market</w:t>
      </w:r>
      <w:r w:rsidR="005E4365">
        <w:rPr>
          <w:rFonts w:ascii="Times New Roman" w:hAnsi="Times New Roman" w:cs="Times New Roman"/>
        </w:rPr>
        <w:t xml:space="preserve"> over </w:t>
      </w:r>
      <w:r w:rsidR="00636567">
        <w:rPr>
          <w:rFonts w:ascii="Times New Roman" w:hAnsi="Times New Roman" w:cs="Times New Roman"/>
        </w:rPr>
        <w:t>three years</w:t>
      </w:r>
      <w:r w:rsidR="005E4365">
        <w:rPr>
          <w:rFonts w:ascii="Times New Roman" w:hAnsi="Times New Roman" w:cs="Times New Roman"/>
        </w:rPr>
        <w:t xml:space="preserve"> 2016 – 2018. The variables definitions of this database can be found in </w:t>
      </w:r>
      <w:r w:rsidR="0097719F">
        <w:rPr>
          <w:rFonts w:ascii="Times New Roman" w:hAnsi="Times New Roman" w:cs="Times New Roman"/>
        </w:rPr>
        <w:t>A</w:t>
      </w:r>
      <w:r w:rsidR="005E4365">
        <w:rPr>
          <w:rFonts w:ascii="Times New Roman" w:hAnsi="Times New Roman" w:cs="Times New Roman"/>
        </w:rPr>
        <w:t>ppendix</w:t>
      </w:r>
      <w:r w:rsidR="0097719F">
        <w:rPr>
          <w:rFonts w:ascii="Times New Roman" w:hAnsi="Times New Roman" w:cs="Times New Roman"/>
        </w:rPr>
        <w:t xml:space="preserve"> </w:t>
      </w:r>
      <w:r w:rsidR="00301A30">
        <w:rPr>
          <w:rFonts w:ascii="Times New Roman" w:hAnsi="Times New Roman" w:cs="Times New Roman"/>
        </w:rPr>
        <w:t>II</w:t>
      </w:r>
      <w:r w:rsidR="005E4365">
        <w:rPr>
          <w:rFonts w:ascii="Times New Roman" w:hAnsi="Times New Roman" w:cs="Times New Roman"/>
        </w:rPr>
        <w:t xml:space="preserve">. </w:t>
      </w:r>
    </w:p>
    <w:p w14:paraId="085E2D98" w14:textId="17D4E5E3" w:rsidR="009124C7" w:rsidRDefault="005E4365" w:rsidP="003519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that the threat of climate change has triggered a wider concern of the company’s corporate social responsibility, we have selected a series of </w:t>
      </w:r>
      <w:r w:rsidR="00351905">
        <w:rPr>
          <w:rFonts w:ascii="Times New Roman" w:hAnsi="Times New Roman" w:cs="Times New Roman"/>
        </w:rPr>
        <w:t xml:space="preserve">important indicators about </w:t>
      </w:r>
      <w:r w:rsidR="00636567">
        <w:rPr>
          <w:rFonts w:ascii="Times New Roman" w:hAnsi="Times New Roman" w:cs="Times New Roman"/>
        </w:rPr>
        <w:t xml:space="preserve">the </w:t>
      </w:r>
      <w:r w:rsidR="00351905">
        <w:rPr>
          <w:rFonts w:ascii="Times New Roman" w:hAnsi="Times New Roman" w:cs="Times New Roman"/>
        </w:rPr>
        <w:t xml:space="preserve">firm’s sustainability initiatives, e.g., </w:t>
      </w:r>
      <w:r w:rsidR="00636567">
        <w:rPr>
          <w:rFonts w:ascii="Times New Roman" w:hAnsi="Times New Roman" w:cs="Times New Roman"/>
        </w:rPr>
        <w:t xml:space="preserve">the </w:t>
      </w:r>
      <w:r w:rsidR="00351905">
        <w:rPr>
          <w:rFonts w:ascii="Times New Roman" w:hAnsi="Times New Roman" w:cs="Times New Roman"/>
        </w:rPr>
        <w:t xml:space="preserve">firm’s environmental disclosure scores. The practitioners might be interested in a business question that </w:t>
      </w:r>
      <w:r w:rsidR="00351905" w:rsidRPr="00351905">
        <w:rPr>
          <w:rFonts w:ascii="Times New Roman" w:hAnsi="Times New Roman" w:cs="Times New Roman"/>
          <w:u w:val="single"/>
        </w:rPr>
        <w:t>does disclos</w:t>
      </w:r>
      <w:r w:rsidR="00636567">
        <w:rPr>
          <w:rFonts w:ascii="Times New Roman" w:hAnsi="Times New Roman" w:cs="Times New Roman"/>
          <w:u w:val="single"/>
        </w:rPr>
        <w:t>e</w:t>
      </w:r>
      <w:r w:rsidR="00351905" w:rsidRPr="00351905">
        <w:rPr>
          <w:rFonts w:ascii="Times New Roman" w:hAnsi="Times New Roman" w:cs="Times New Roman"/>
          <w:u w:val="single"/>
        </w:rPr>
        <w:t xml:space="preserve"> more about the environmental data </w:t>
      </w:r>
      <w:r w:rsidR="008F001B">
        <w:rPr>
          <w:rFonts w:ascii="Times New Roman" w:hAnsi="Times New Roman" w:cs="Times New Roman"/>
          <w:u w:val="single"/>
        </w:rPr>
        <w:t>can predict</w:t>
      </w:r>
      <w:r w:rsidR="00351905" w:rsidRPr="00351905">
        <w:rPr>
          <w:rFonts w:ascii="Times New Roman" w:hAnsi="Times New Roman" w:cs="Times New Roman"/>
          <w:u w:val="single"/>
        </w:rPr>
        <w:t xml:space="preserve"> better financial performance</w:t>
      </w:r>
      <w:r w:rsidR="00351905">
        <w:rPr>
          <w:rFonts w:ascii="Times New Roman" w:hAnsi="Times New Roman" w:cs="Times New Roman"/>
        </w:rPr>
        <w:t xml:space="preserve">? </w:t>
      </w:r>
    </w:p>
    <w:p w14:paraId="45C99A73" w14:textId="5D83E0D9" w:rsidR="00351905" w:rsidRDefault="00351905" w:rsidP="003519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r w:rsidR="009124C7">
        <w:rPr>
          <w:rFonts w:ascii="Times New Roman" w:hAnsi="Times New Roman" w:cs="Times New Roman"/>
        </w:rPr>
        <w:t>might</w:t>
      </w:r>
      <w:r>
        <w:rPr>
          <w:rFonts w:ascii="Times New Roman" w:hAnsi="Times New Roman" w:cs="Times New Roman"/>
        </w:rPr>
        <w:t xml:space="preserve"> refer to the following bullet</w:t>
      </w:r>
      <w:r w:rsidR="008F001B">
        <w:rPr>
          <w:rFonts w:ascii="Times New Roman" w:hAnsi="Times New Roman" w:cs="Times New Roman"/>
        </w:rPr>
        <w:t xml:space="preserve"> points</w:t>
      </w:r>
      <w:r w:rsidR="007114F6">
        <w:rPr>
          <w:rFonts w:ascii="Times New Roman" w:hAnsi="Times New Roman" w:cs="Times New Roman"/>
        </w:rPr>
        <w:t xml:space="preserve"> about the data analysis idea</w:t>
      </w:r>
      <w:r w:rsidR="008F001B">
        <w:rPr>
          <w:rFonts w:ascii="Times New Roman" w:hAnsi="Times New Roman" w:cs="Times New Roman"/>
        </w:rPr>
        <w:t xml:space="preserve"> </w:t>
      </w:r>
      <w:r w:rsidR="007114F6">
        <w:rPr>
          <w:rFonts w:ascii="Times New Roman" w:hAnsi="Times New Roman" w:cs="Times New Roman"/>
        </w:rPr>
        <w:t>for more details about the</w:t>
      </w:r>
      <w:r w:rsidR="008F001B">
        <w:rPr>
          <w:rFonts w:ascii="Times New Roman" w:hAnsi="Times New Roman" w:cs="Times New Roman"/>
        </w:rPr>
        <w:t xml:space="preserve"> suggested structure</w:t>
      </w:r>
      <w:r w:rsidR="007114F6">
        <w:rPr>
          <w:rFonts w:ascii="Times New Roman" w:hAnsi="Times New Roman" w:cs="Times New Roman"/>
        </w:rPr>
        <w:t xml:space="preserve"> in </w:t>
      </w:r>
      <w:r w:rsidR="00636567">
        <w:rPr>
          <w:rFonts w:ascii="Times New Roman" w:hAnsi="Times New Roman" w:cs="Times New Roman"/>
        </w:rPr>
        <w:t xml:space="preserve">the </w:t>
      </w:r>
      <w:r w:rsidR="007114F6">
        <w:rPr>
          <w:rFonts w:ascii="Times New Roman" w:hAnsi="Times New Roman" w:cs="Times New Roman"/>
        </w:rPr>
        <w:t>assignment brief</w:t>
      </w:r>
      <w:r w:rsidR="009124C7">
        <w:rPr>
          <w:rFonts w:ascii="Times New Roman" w:hAnsi="Times New Roman" w:cs="Times New Roman"/>
        </w:rPr>
        <w:t>:</w:t>
      </w:r>
    </w:p>
    <w:p w14:paraId="62F601F7" w14:textId="41A2C42D" w:rsidR="008F001B" w:rsidRPr="00BE40DC" w:rsidRDefault="008F001B" w:rsidP="00351905">
      <w:pPr>
        <w:jc w:val="both"/>
        <w:rPr>
          <w:rFonts w:ascii="Times New Roman" w:hAnsi="Times New Roman" w:cs="Times New Roman"/>
          <w:i/>
          <w:iCs/>
        </w:rPr>
      </w:pPr>
      <w:r w:rsidRPr="00BE40DC">
        <w:rPr>
          <w:rFonts w:ascii="Times New Roman" w:hAnsi="Times New Roman" w:cs="Times New Roman"/>
          <w:i/>
          <w:iCs/>
        </w:rPr>
        <w:t>Introduction</w:t>
      </w:r>
    </w:p>
    <w:p w14:paraId="15C8A6F7" w14:textId="485BE83A" w:rsidR="00385BDE" w:rsidRDefault="009124C7" w:rsidP="009124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351905" w:rsidRPr="009124C7">
        <w:rPr>
          <w:rFonts w:ascii="Times New Roman" w:hAnsi="Times New Roman" w:cs="Times New Roman"/>
        </w:rPr>
        <w:t>ou must select a company and describe its background as specified in the introduction.</w:t>
      </w:r>
      <w:r>
        <w:rPr>
          <w:rFonts w:ascii="Times New Roman" w:hAnsi="Times New Roman" w:cs="Times New Roman"/>
        </w:rPr>
        <w:t xml:space="preserve"> </w:t>
      </w:r>
      <w:r w:rsidR="005C1974">
        <w:rPr>
          <w:rFonts w:ascii="Times New Roman" w:hAnsi="Times New Roman" w:cs="Times New Roman"/>
        </w:rPr>
        <w:t>I will take</w:t>
      </w:r>
      <w:r>
        <w:rPr>
          <w:rFonts w:ascii="Times New Roman" w:hAnsi="Times New Roman" w:cs="Times New Roman"/>
        </w:rPr>
        <w:t xml:space="preserve"> 3M Co as an example in this </w:t>
      </w:r>
      <w:r w:rsidR="005C1974">
        <w:rPr>
          <w:rFonts w:ascii="Times New Roman" w:hAnsi="Times New Roman" w:cs="Times New Roman"/>
        </w:rPr>
        <w:t>section</w:t>
      </w:r>
      <w:r>
        <w:rPr>
          <w:rFonts w:ascii="Times New Roman" w:hAnsi="Times New Roman" w:cs="Times New Roman"/>
        </w:rPr>
        <w:t>.</w:t>
      </w:r>
    </w:p>
    <w:p w14:paraId="2229FE80" w14:textId="07E61EC4" w:rsidR="009124C7" w:rsidRDefault="009124C7" w:rsidP="009124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Identifying the competitor sectors – you might use the 4-digit SIC Code of 3841 as the competitor sector </w:t>
      </w:r>
      <w:r w:rsidRPr="009124C7">
        <w:rPr>
          <w:rFonts w:ascii="Times New Roman" w:hAnsi="Times New Roman" w:cs="Times New Roman"/>
          <w:i/>
          <w:iCs/>
        </w:rPr>
        <w:t>or</w:t>
      </w:r>
      <w:r>
        <w:rPr>
          <w:rFonts w:ascii="Times New Roman" w:hAnsi="Times New Roman" w:cs="Times New Roman"/>
        </w:rPr>
        <w:t xml:space="preserve"> the 2-digit SIC Code of 38 for a larger sample observation </w:t>
      </w:r>
      <w:r w:rsidRPr="009124C7">
        <w:rPr>
          <w:rFonts w:ascii="Times New Roman" w:hAnsi="Times New Roman" w:cs="Times New Roman"/>
          <w:i/>
          <w:iCs/>
        </w:rPr>
        <w:t>or</w:t>
      </w:r>
      <w:r>
        <w:rPr>
          <w:rFonts w:ascii="Times New Roman" w:hAnsi="Times New Roman" w:cs="Times New Roman"/>
        </w:rPr>
        <w:t xml:space="preserve"> even the whole S&amp;P 1500 sample as a competitor set. </w:t>
      </w:r>
    </w:p>
    <w:p w14:paraId="22370173" w14:textId="37A7CD20" w:rsidR="009124C7" w:rsidRDefault="009124C7" w:rsidP="009124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analysis and modelling in your assignment will be based on the competitor set you identified.</w:t>
      </w:r>
    </w:p>
    <w:p w14:paraId="3B75146D" w14:textId="456D546D" w:rsidR="009124C7" w:rsidRPr="00BE40DC" w:rsidRDefault="008F001B" w:rsidP="008F001B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BE40DC">
        <w:rPr>
          <w:rFonts w:ascii="Times New Roman" w:hAnsi="Times New Roman" w:cs="Times New Roman"/>
          <w:i/>
          <w:iCs/>
          <w:lang w:val="en-US"/>
        </w:rPr>
        <w:t>Main Body</w:t>
      </w:r>
    </w:p>
    <w:p w14:paraId="5DDF39A5" w14:textId="2755C531" w:rsidR="007114F6" w:rsidRPr="007114F6" w:rsidRDefault="008F001B" w:rsidP="007114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specified in the suggested structure, we will mention the selected variables for examining the business question, e.g., the environmental disclosure scores and return on assets as </w:t>
      </w:r>
      <w:r w:rsidR="00636567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>proxy of financial performance</w:t>
      </w:r>
      <w:r w:rsidR="007114F6">
        <w:rPr>
          <w:rFonts w:ascii="Times New Roman" w:hAnsi="Times New Roman" w:cs="Times New Roman"/>
          <w:lang w:val="en-US"/>
        </w:rPr>
        <w:t>, and other relevant variables to examine the interaction effect</w:t>
      </w:r>
      <w:r w:rsidR="008057EB">
        <w:rPr>
          <w:rFonts w:ascii="Times New Roman" w:hAnsi="Times New Roman" w:cs="Times New Roman"/>
          <w:lang w:val="en-US"/>
        </w:rPr>
        <w:t xml:space="preserve"> or as control variable</w:t>
      </w:r>
      <w:r w:rsidR="007114F6">
        <w:rPr>
          <w:rFonts w:ascii="Times New Roman" w:hAnsi="Times New Roman" w:cs="Times New Roman"/>
          <w:lang w:val="en-US"/>
        </w:rPr>
        <w:t xml:space="preserve"> such as firm size (i.e., number of employees)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1EA8FA79" w14:textId="1584AA14" w:rsidR="007114F6" w:rsidRDefault="007114F6" w:rsidP="008F00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Using the descriptive analysis, we will compare 3M’s performance with other competitors. For example, is 3M financial performance above the industrial average.</w:t>
      </w:r>
    </w:p>
    <w:p w14:paraId="1D7D8DB2" w14:textId="1E2E3A69" w:rsidR="007114F6" w:rsidRDefault="00BE40DC" w:rsidP="008F00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address the business question, we can build a regression model between the environmental disclosure scores and financial performance based on</w:t>
      </w:r>
      <w:r w:rsidR="00761C8C">
        <w:rPr>
          <w:rFonts w:ascii="Times New Roman" w:hAnsi="Times New Roman" w:cs="Times New Roman"/>
          <w:lang w:val="en-US"/>
        </w:rPr>
        <w:t xml:space="preserve"> the data of</w:t>
      </w:r>
      <w:r>
        <w:rPr>
          <w:rFonts w:ascii="Times New Roman" w:hAnsi="Times New Roman" w:cs="Times New Roman"/>
          <w:lang w:val="en-US"/>
        </w:rPr>
        <w:t xml:space="preserve"> their competitors. </w:t>
      </w:r>
      <w:r w:rsidR="00761C8C">
        <w:rPr>
          <w:rFonts w:ascii="Times New Roman" w:hAnsi="Times New Roman" w:cs="Times New Roman"/>
          <w:lang w:val="en-US"/>
        </w:rPr>
        <w:t>Usin</w:t>
      </w:r>
      <w:r>
        <w:rPr>
          <w:rFonts w:ascii="Times New Roman" w:hAnsi="Times New Roman" w:cs="Times New Roman"/>
          <w:lang w:val="en-US"/>
        </w:rPr>
        <w:t xml:space="preserve">g the predictive function, you might answer in your report that </w:t>
      </w:r>
      <w:r w:rsidR="00761C8C">
        <w:rPr>
          <w:rFonts w:ascii="Times New Roman" w:hAnsi="Times New Roman" w:cs="Times New Roman"/>
          <w:lang w:val="en-US"/>
        </w:rPr>
        <w:t>is it</w:t>
      </w:r>
      <w:r>
        <w:rPr>
          <w:rFonts w:ascii="Times New Roman" w:hAnsi="Times New Roman" w:cs="Times New Roman"/>
          <w:lang w:val="en-US"/>
        </w:rPr>
        <w:t xml:space="preserve"> worth </w:t>
      </w:r>
      <w:r w:rsidR="00636567">
        <w:rPr>
          <w:rFonts w:ascii="Times New Roman" w:hAnsi="Times New Roman" w:cs="Times New Roman"/>
          <w:lang w:val="en-US"/>
        </w:rPr>
        <w:t>disclosing</w:t>
      </w:r>
      <w:r>
        <w:rPr>
          <w:rFonts w:ascii="Times New Roman" w:hAnsi="Times New Roman" w:cs="Times New Roman"/>
          <w:lang w:val="en-US"/>
        </w:rPr>
        <w:t xml:space="preserve"> more environmental data to enhance their financial performance. </w:t>
      </w:r>
    </w:p>
    <w:p w14:paraId="69B816AF" w14:textId="6E839699" w:rsidR="00C914FE" w:rsidRPr="00AF72A0" w:rsidRDefault="00C914FE" w:rsidP="008F00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You can use the findings you obtained to benchmark the existing findings in the literature or industrial reports</w:t>
      </w:r>
      <w:r w:rsidR="00AF72A0">
        <w:rPr>
          <w:rFonts w:ascii="Times New Roman" w:hAnsi="Times New Roman" w:cs="Times New Roman"/>
          <w:lang w:val="en-US"/>
        </w:rPr>
        <w:t xml:space="preserve"> for the discussion part. For example, is your finding consistent with the literature of </w:t>
      </w:r>
      <w:proofErr w:type="spellStart"/>
      <w:r w:rsidR="00AF72A0">
        <w:rPr>
          <w:rFonts w:ascii="Times New Roman" w:hAnsi="Times New Roman" w:cs="Times New Roman"/>
          <w:lang w:val="en-US"/>
        </w:rPr>
        <w:t>Qiu</w:t>
      </w:r>
      <w:proofErr w:type="spellEnd"/>
      <w:r w:rsidR="00AF72A0">
        <w:rPr>
          <w:rFonts w:ascii="Times New Roman" w:hAnsi="Times New Roman" w:cs="Times New Roman"/>
          <w:lang w:val="en-US"/>
        </w:rPr>
        <w:t xml:space="preserve"> et al. (2016) who suggest the </w:t>
      </w:r>
      <w:r w:rsidR="00AF72A0" w:rsidRPr="00AF72A0">
        <w:rPr>
          <w:rFonts w:ascii="Times New Roman" w:hAnsi="Times New Roman" w:cs="Times New Roman"/>
        </w:rPr>
        <w:t xml:space="preserve">firms </w:t>
      </w:r>
      <w:r w:rsidR="00636567">
        <w:rPr>
          <w:rFonts w:ascii="Times New Roman" w:hAnsi="Times New Roman" w:cs="Times New Roman"/>
        </w:rPr>
        <w:t xml:space="preserve">that </w:t>
      </w:r>
      <w:r w:rsidR="00AF72A0" w:rsidRPr="00AF72A0">
        <w:rPr>
          <w:rFonts w:ascii="Times New Roman" w:hAnsi="Times New Roman" w:cs="Times New Roman"/>
        </w:rPr>
        <w:t>make more extensive disclosures</w:t>
      </w:r>
      <w:r w:rsidR="00AF72A0">
        <w:rPr>
          <w:rFonts w:ascii="Times New Roman" w:hAnsi="Times New Roman" w:cs="Times New Roman"/>
        </w:rPr>
        <w:t xml:space="preserve"> will</w:t>
      </w:r>
      <w:r w:rsidR="00AF72A0" w:rsidRPr="00AF72A0">
        <w:rPr>
          <w:rFonts w:ascii="Times New Roman" w:hAnsi="Times New Roman" w:cs="Times New Roman"/>
        </w:rPr>
        <w:t xml:space="preserve"> yield net positive economic benefits.</w:t>
      </w:r>
    </w:p>
    <w:p w14:paraId="5611A681" w14:textId="1BC04D46" w:rsidR="00AF72A0" w:rsidRDefault="00AF72A0" w:rsidP="00AF72A0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AF72A0">
        <w:rPr>
          <w:rFonts w:ascii="Times New Roman" w:hAnsi="Times New Roman" w:cs="Times New Roman"/>
          <w:i/>
          <w:iCs/>
          <w:lang w:val="en-US"/>
        </w:rPr>
        <w:t>Conclusion</w:t>
      </w:r>
    </w:p>
    <w:p w14:paraId="3B6124BC" w14:textId="2F99C9FD" w:rsidR="00AF72A0" w:rsidRDefault="00AF72A0" w:rsidP="00AF72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Summarizing the key actions points for managers in 3M to consider based on your analysis of the competitors.</w:t>
      </w:r>
    </w:p>
    <w:p w14:paraId="39E6CD8C" w14:textId="30F6994D" w:rsidR="00AF72A0" w:rsidRDefault="00AF72A0" w:rsidP="00AF72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will acknowledge the limitation of your analysis, for example</w:t>
      </w:r>
      <w:r w:rsidR="00636567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the sample size of your research might be limited and overlook the customer perspectives</w:t>
      </w:r>
      <w:r w:rsidR="004B79AB">
        <w:rPr>
          <w:rFonts w:ascii="Times New Roman" w:hAnsi="Times New Roman" w:cs="Times New Roman"/>
          <w:lang w:val="en-US"/>
        </w:rPr>
        <w:t>. For future research, you might suggest the managers</w:t>
      </w:r>
      <w:r w:rsidR="00636567">
        <w:rPr>
          <w:rFonts w:ascii="Times New Roman" w:hAnsi="Times New Roman" w:cs="Times New Roman"/>
          <w:lang w:val="en-US"/>
        </w:rPr>
        <w:t xml:space="preserve"> </w:t>
      </w:r>
      <w:r w:rsidR="004B79AB">
        <w:rPr>
          <w:rFonts w:ascii="Times New Roman" w:hAnsi="Times New Roman" w:cs="Times New Roman"/>
          <w:lang w:val="en-US"/>
        </w:rPr>
        <w:t>design</w:t>
      </w:r>
      <w:r w:rsidR="00636567">
        <w:rPr>
          <w:rFonts w:ascii="Times New Roman" w:hAnsi="Times New Roman" w:cs="Times New Roman"/>
          <w:lang w:val="en-US"/>
        </w:rPr>
        <w:t xml:space="preserve"> a</w:t>
      </w:r>
      <w:r w:rsidR="004B79AB">
        <w:rPr>
          <w:rFonts w:ascii="Times New Roman" w:hAnsi="Times New Roman" w:cs="Times New Roman"/>
          <w:lang w:val="en-US"/>
        </w:rPr>
        <w:t xml:space="preserve"> questionnaire (with some example scales and questions) to analyze how customer</w:t>
      </w:r>
      <w:r w:rsidR="00636567">
        <w:rPr>
          <w:rFonts w:ascii="Times New Roman" w:hAnsi="Times New Roman" w:cs="Times New Roman"/>
          <w:lang w:val="en-US"/>
        </w:rPr>
        <w:t>s</w:t>
      </w:r>
      <w:r w:rsidR="004B79AB">
        <w:rPr>
          <w:rFonts w:ascii="Times New Roman" w:hAnsi="Times New Roman" w:cs="Times New Roman"/>
          <w:lang w:val="en-US"/>
        </w:rPr>
        <w:t xml:space="preserve"> respond to 3M’s environmental protection actions. </w:t>
      </w:r>
    </w:p>
    <w:p w14:paraId="2D9D61CE" w14:textId="07135082" w:rsidR="004B79AB" w:rsidRPr="001B4573" w:rsidRDefault="004B79AB" w:rsidP="004B79AB">
      <w:pPr>
        <w:rPr>
          <w:rFonts w:ascii="Times New Roman" w:hAnsi="Times New Roman" w:cs="Times New Roman"/>
        </w:rPr>
      </w:pPr>
    </w:p>
    <w:p w14:paraId="5E0BCC21" w14:textId="52C1167B" w:rsidR="004B79AB" w:rsidRPr="004B79AB" w:rsidRDefault="004B79AB" w:rsidP="004B79AB">
      <w:pPr>
        <w:rPr>
          <w:rFonts w:ascii="Times New Roman" w:hAnsi="Times New Roman" w:cs="Times New Roman"/>
          <w:b/>
          <w:bCs/>
        </w:rPr>
      </w:pPr>
      <w:r w:rsidRPr="004B79AB">
        <w:rPr>
          <w:rFonts w:ascii="Times New Roman" w:hAnsi="Times New Roman" w:cs="Times New Roman"/>
          <w:b/>
          <w:bCs/>
        </w:rPr>
        <w:t xml:space="preserve">Instructor’s Sample </w:t>
      </w:r>
      <w:r>
        <w:rPr>
          <w:rFonts w:ascii="Times New Roman" w:hAnsi="Times New Roman" w:cs="Times New Roman"/>
          <w:b/>
          <w:bCs/>
        </w:rPr>
        <w:t>2</w:t>
      </w:r>
      <w:r w:rsidRPr="004B79AB">
        <w:rPr>
          <w:rFonts w:ascii="Times New Roman" w:hAnsi="Times New Roman" w:cs="Times New Roman"/>
          <w:b/>
          <w:bCs/>
        </w:rPr>
        <w:t xml:space="preserve"> and Indicative Example</w:t>
      </w:r>
    </w:p>
    <w:p w14:paraId="7811DBA6" w14:textId="0C63D0D9" w:rsidR="00A81E85" w:rsidRDefault="005C1974" w:rsidP="004B79A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instructor</w:t>
      </w:r>
      <w:r w:rsidR="00905611">
        <w:rPr>
          <w:rFonts w:ascii="Times New Roman" w:hAnsi="Times New Roman" w:cs="Times New Roman"/>
          <w:lang w:val="en-US"/>
        </w:rPr>
        <w:t xml:space="preserve">’s </w:t>
      </w:r>
      <w:r w:rsidR="00827C1C">
        <w:rPr>
          <w:rFonts w:ascii="Times New Roman" w:hAnsi="Times New Roman" w:cs="Times New Roman"/>
          <w:lang w:val="en-US"/>
        </w:rPr>
        <w:t>S</w:t>
      </w:r>
      <w:r w:rsidR="00905611">
        <w:rPr>
          <w:rFonts w:ascii="Times New Roman" w:hAnsi="Times New Roman" w:cs="Times New Roman"/>
          <w:lang w:val="en-US"/>
        </w:rPr>
        <w:t xml:space="preserve">ample 2 is the </w:t>
      </w:r>
      <w:proofErr w:type="spellStart"/>
      <w:r w:rsidR="00905611">
        <w:rPr>
          <w:rFonts w:ascii="Times New Roman" w:hAnsi="Times New Roman" w:cs="Times New Roman"/>
          <w:lang w:val="en-US"/>
        </w:rPr>
        <w:t>AirBnB</w:t>
      </w:r>
      <w:proofErr w:type="spellEnd"/>
      <w:r w:rsidR="00905611">
        <w:rPr>
          <w:rFonts w:ascii="Times New Roman" w:hAnsi="Times New Roman" w:cs="Times New Roman"/>
          <w:lang w:val="en-US"/>
        </w:rPr>
        <w:t xml:space="preserve"> datasets </w:t>
      </w:r>
      <w:r w:rsidR="009B25C0">
        <w:rPr>
          <w:rFonts w:ascii="Times New Roman" w:hAnsi="Times New Roman" w:cs="Times New Roman"/>
          <w:lang w:val="en-US"/>
        </w:rPr>
        <w:t xml:space="preserve">we have been working on in this unit. You are allowed to use all the </w:t>
      </w:r>
      <w:r w:rsidR="00A81E85">
        <w:rPr>
          <w:rFonts w:ascii="Times New Roman" w:hAnsi="Times New Roman" w:cs="Times New Roman"/>
          <w:lang w:val="en-US"/>
        </w:rPr>
        <w:t>syntax</w:t>
      </w:r>
      <w:r w:rsidR="009B25C0">
        <w:rPr>
          <w:rFonts w:ascii="Times New Roman" w:hAnsi="Times New Roman" w:cs="Times New Roman"/>
          <w:lang w:val="en-US"/>
        </w:rPr>
        <w:t xml:space="preserve"> and examples we have instructed. However, you will need to follow the suggested structures and assignment requirements to report the analysis. </w:t>
      </w:r>
    </w:p>
    <w:p w14:paraId="25636378" w14:textId="4E938EBD" w:rsidR="00A733CB" w:rsidRDefault="00A81E85" w:rsidP="004B79AB">
      <w:pPr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</w:t>
      </w:r>
      <w:r w:rsidR="00FD2DEB">
        <w:rPr>
          <w:rFonts w:ascii="Times New Roman" w:hAnsi="Times New Roman" w:cs="Times New Roman"/>
          <w:lang w:val="en-US"/>
        </w:rPr>
        <w:t xml:space="preserve">will be </w:t>
      </w:r>
      <w:r w:rsidR="00636567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>good idea to combine different datasets based on the host ID to integrate a new dataset to build your model</w:t>
      </w:r>
      <w:r w:rsidR="001B4573">
        <w:rPr>
          <w:rFonts w:ascii="Times New Roman" w:hAnsi="Times New Roman" w:cs="Times New Roman"/>
          <w:lang w:val="en-US"/>
        </w:rPr>
        <w:t xml:space="preserve"> (please refer to the Week 11 exercise on how to integrate different data frames)</w:t>
      </w:r>
      <w:r>
        <w:rPr>
          <w:rFonts w:ascii="Times New Roman" w:hAnsi="Times New Roman" w:cs="Times New Roman"/>
          <w:lang w:val="en-US"/>
        </w:rPr>
        <w:t xml:space="preserve">. For example, a possible business question is that </w:t>
      </w:r>
      <w:r w:rsidR="00A733CB" w:rsidRPr="00A733CB">
        <w:rPr>
          <w:rFonts w:ascii="Times New Roman" w:hAnsi="Times New Roman" w:cs="Times New Roman"/>
          <w:u w:val="single"/>
          <w:lang w:val="en-US"/>
        </w:rPr>
        <w:t>what are</w:t>
      </w:r>
      <w:r w:rsidR="003B0154">
        <w:rPr>
          <w:rFonts w:ascii="Times New Roman" w:hAnsi="Times New Roman" w:cs="Times New Roman"/>
          <w:u w:val="single"/>
          <w:lang w:val="en-US"/>
        </w:rPr>
        <w:t xml:space="preserve"> (or cluster</w:t>
      </w:r>
      <w:r w:rsidR="00636567">
        <w:rPr>
          <w:rFonts w:ascii="Times New Roman" w:hAnsi="Times New Roman" w:cs="Times New Roman"/>
          <w:u w:val="single"/>
          <w:lang w:val="en-US"/>
        </w:rPr>
        <w:t>s</w:t>
      </w:r>
      <w:r w:rsidR="003B0154">
        <w:rPr>
          <w:rFonts w:ascii="Times New Roman" w:hAnsi="Times New Roman" w:cs="Times New Roman"/>
          <w:u w:val="single"/>
          <w:lang w:val="en-US"/>
        </w:rPr>
        <w:t xml:space="preserve"> of)</w:t>
      </w:r>
      <w:r w:rsidR="00A733CB" w:rsidRPr="00A733CB">
        <w:rPr>
          <w:rFonts w:ascii="Times New Roman" w:hAnsi="Times New Roman" w:cs="Times New Roman"/>
          <w:u w:val="single"/>
          <w:lang w:val="en-US"/>
        </w:rPr>
        <w:t xml:space="preserve"> amenities for an </w:t>
      </w:r>
      <w:proofErr w:type="spellStart"/>
      <w:r w:rsidR="00A733CB" w:rsidRPr="00A733CB">
        <w:rPr>
          <w:rFonts w:ascii="Times New Roman" w:hAnsi="Times New Roman" w:cs="Times New Roman"/>
          <w:u w:val="single"/>
          <w:lang w:val="en-US"/>
        </w:rPr>
        <w:t>AirBnB</w:t>
      </w:r>
      <w:proofErr w:type="spellEnd"/>
      <w:r w:rsidR="00A733CB" w:rsidRPr="00A733CB">
        <w:rPr>
          <w:rFonts w:ascii="Times New Roman" w:hAnsi="Times New Roman" w:cs="Times New Roman"/>
          <w:u w:val="single"/>
          <w:lang w:val="en-US"/>
        </w:rPr>
        <w:t xml:space="preserve"> listing in </w:t>
      </w:r>
      <w:r w:rsidR="00636567">
        <w:rPr>
          <w:rFonts w:ascii="Times New Roman" w:hAnsi="Times New Roman" w:cs="Times New Roman"/>
          <w:u w:val="single"/>
          <w:lang w:val="en-US"/>
        </w:rPr>
        <w:t xml:space="preserve">a </w:t>
      </w:r>
      <w:r w:rsidR="00A733CB" w:rsidRPr="00A733CB">
        <w:rPr>
          <w:rFonts w:ascii="Times New Roman" w:hAnsi="Times New Roman" w:cs="Times New Roman"/>
          <w:u w:val="single"/>
          <w:lang w:val="en-US"/>
        </w:rPr>
        <w:t>certain area</w:t>
      </w:r>
      <w:r w:rsidR="00636567">
        <w:rPr>
          <w:rFonts w:ascii="Times New Roman" w:hAnsi="Times New Roman" w:cs="Times New Roman"/>
          <w:u w:val="single"/>
          <w:lang w:val="en-US"/>
        </w:rPr>
        <w:t>/</w:t>
      </w:r>
      <w:r w:rsidR="003B0154">
        <w:rPr>
          <w:rFonts w:ascii="Times New Roman" w:hAnsi="Times New Roman" w:cs="Times New Roman"/>
          <w:u w:val="single"/>
          <w:lang w:val="en-US"/>
        </w:rPr>
        <w:t>season</w:t>
      </w:r>
      <w:r w:rsidR="00A733CB" w:rsidRPr="00A733CB">
        <w:rPr>
          <w:rFonts w:ascii="Times New Roman" w:hAnsi="Times New Roman" w:cs="Times New Roman"/>
          <w:u w:val="single"/>
          <w:lang w:val="en-US"/>
        </w:rPr>
        <w:t xml:space="preserve"> to predict better electronic word-of-mouth</w:t>
      </w:r>
      <w:r w:rsidR="00893C5E">
        <w:rPr>
          <w:rFonts w:ascii="Times New Roman" w:hAnsi="Times New Roman" w:cs="Times New Roman"/>
          <w:u w:val="single"/>
          <w:lang w:val="en-US"/>
        </w:rPr>
        <w:t xml:space="preserve"> EWOM</w:t>
      </w:r>
      <w:r w:rsidR="00A733CB" w:rsidRPr="00A733CB">
        <w:rPr>
          <w:rFonts w:ascii="Times New Roman" w:hAnsi="Times New Roman" w:cs="Times New Roman"/>
          <w:u w:val="single"/>
          <w:lang w:val="en-US"/>
        </w:rPr>
        <w:t xml:space="preserve"> (i.e., the sentiment values of the review comments)</w:t>
      </w:r>
      <w:r w:rsidR="00A733CB">
        <w:rPr>
          <w:rFonts w:ascii="Times New Roman" w:hAnsi="Times New Roman" w:cs="Times New Roman"/>
          <w:u w:val="single"/>
          <w:lang w:val="en-US"/>
        </w:rPr>
        <w:t>?</w:t>
      </w:r>
    </w:p>
    <w:p w14:paraId="2C8ABE78" w14:textId="0DD7D888" w:rsidR="003B0154" w:rsidRDefault="003B0154" w:rsidP="003B01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might refer to the following bullet points about the data analysis idea for more details about the suggested structure in </w:t>
      </w:r>
      <w:r w:rsidR="0063656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assignment brief:</w:t>
      </w:r>
    </w:p>
    <w:p w14:paraId="0C8B2A81" w14:textId="77777777" w:rsidR="003B0154" w:rsidRDefault="003B0154" w:rsidP="004B79AB">
      <w:pPr>
        <w:jc w:val="both"/>
        <w:rPr>
          <w:rFonts w:ascii="Times New Roman" w:hAnsi="Times New Roman" w:cs="Times New Roman"/>
          <w:i/>
          <w:iCs/>
        </w:rPr>
      </w:pPr>
      <w:r w:rsidRPr="00BE40DC">
        <w:rPr>
          <w:rFonts w:ascii="Times New Roman" w:hAnsi="Times New Roman" w:cs="Times New Roman"/>
          <w:i/>
          <w:iCs/>
        </w:rPr>
        <w:t>Introduction</w:t>
      </w:r>
    </w:p>
    <w:p w14:paraId="41E00D9F" w14:textId="4C82651B" w:rsidR="004B79AB" w:rsidRPr="003B0154" w:rsidRDefault="003B0154" w:rsidP="003B01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must select a current listing in the </w:t>
      </w:r>
      <w:proofErr w:type="spellStart"/>
      <w:r>
        <w:rPr>
          <w:rFonts w:ascii="Times New Roman" w:hAnsi="Times New Roman" w:cs="Times New Roman"/>
          <w:lang w:val="en-US"/>
        </w:rPr>
        <w:t>AirBnB</w:t>
      </w:r>
      <w:proofErr w:type="spellEnd"/>
      <w:r>
        <w:rPr>
          <w:rFonts w:ascii="Times New Roman" w:hAnsi="Times New Roman" w:cs="Times New Roman"/>
          <w:lang w:val="en-US"/>
        </w:rPr>
        <w:t xml:space="preserve"> and describe its current business and offerings in the introduction. </w:t>
      </w:r>
    </w:p>
    <w:p w14:paraId="62EA471B" w14:textId="2C9A9427" w:rsidR="008057EB" w:rsidRPr="008057EB" w:rsidRDefault="003B0154" w:rsidP="003B01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Identify the competitor set of the listing you selected to construct a new sample from the original dataset. For example, you might consider a group of London listings </w:t>
      </w:r>
      <w:r w:rsidR="008057EB">
        <w:rPr>
          <w:rFonts w:ascii="Times New Roman" w:hAnsi="Times New Roman" w:cs="Times New Roman"/>
          <w:lang w:val="en-US"/>
        </w:rPr>
        <w:t>having</w:t>
      </w:r>
      <w:r>
        <w:rPr>
          <w:rFonts w:ascii="Times New Roman" w:hAnsi="Times New Roman" w:cs="Times New Roman"/>
          <w:lang w:val="en-US"/>
        </w:rPr>
        <w:t xml:space="preserve"> a similar price range</w:t>
      </w:r>
      <w:r w:rsidR="008057EB">
        <w:rPr>
          <w:rFonts w:ascii="Times New Roman" w:hAnsi="Times New Roman" w:cs="Times New Roman"/>
          <w:lang w:val="en-US"/>
        </w:rPr>
        <w:t xml:space="preserve"> </w:t>
      </w:r>
      <w:r w:rsidR="008057EB" w:rsidRPr="008057EB">
        <w:rPr>
          <w:rFonts w:ascii="Times New Roman" w:hAnsi="Times New Roman" w:cs="Times New Roman"/>
          <w:i/>
          <w:iCs/>
          <w:lang w:val="en-US"/>
        </w:rPr>
        <w:t>or</w:t>
      </w:r>
      <w:r w:rsidR="008057EB">
        <w:rPr>
          <w:rFonts w:ascii="Times New Roman" w:hAnsi="Times New Roman" w:cs="Times New Roman"/>
          <w:lang w:val="en-US"/>
        </w:rPr>
        <w:t xml:space="preserve"> a group of listings located close to the one you selected. </w:t>
      </w:r>
    </w:p>
    <w:p w14:paraId="0690CF6C" w14:textId="41325F3B" w:rsidR="008057EB" w:rsidRPr="008057EB" w:rsidRDefault="008057EB" w:rsidP="003B01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The following analysis and mode</w:t>
      </w:r>
      <w:r w:rsidR="00636567"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>ling will be based on the</w:t>
      </w:r>
      <w:r w:rsidR="003B015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sample of your identified competitor set.</w:t>
      </w:r>
    </w:p>
    <w:p w14:paraId="40D395C2" w14:textId="210B2A85" w:rsidR="008057EB" w:rsidRDefault="008057EB" w:rsidP="008057EB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8057EB">
        <w:rPr>
          <w:rFonts w:ascii="Times New Roman" w:hAnsi="Times New Roman" w:cs="Times New Roman"/>
          <w:i/>
          <w:iCs/>
          <w:lang w:val="en-US"/>
        </w:rPr>
        <w:t>Main Body</w:t>
      </w:r>
    </w:p>
    <w:p w14:paraId="446B0283" w14:textId="6972EFAE" w:rsidR="008057EB" w:rsidRDefault="008057EB" w:rsidP="008057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Describ</w:t>
      </w:r>
      <w:r w:rsidR="00636567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 xml:space="preserve"> how you obtain the main variables, such as the sentiment scores of review comments </w:t>
      </w:r>
      <w:r w:rsidR="00893C5E">
        <w:rPr>
          <w:rFonts w:ascii="Times New Roman" w:hAnsi="Times New Roman" w:cs="Times New Roman"/>
          <w:lang w:val="en-US"/>
        </w:rPr>
        <w:t xml:space="preserve">(please refer to the exercise of week </w:t>
      </w:r>
      <w:r w:rsidR="001B4573">
        <w:rPr>
          <w:rFonts w:ascii="Times New Roman" w:hAnsi="Times New Roman" w:cs="Times New Roman"/>
          <w:lang w:val="en-US"/>
        </w:rPr>
        <w:t xml:space="preserve">2 Exercise 02 – </w:t>
      </w:r>
      <w:hyperlink r:id="rId5" w:history="1">
        <w:r w:rsidR="001B4573" w:rsidRPr="001B4573">
          <w:rPr>
            <w:rStyle w:val="Hyperlink"/>
            <w:rFonts w:ascii="Times New Roman" w:hAnsi="Times New Roman" w:cs="Times New Roman"/>
            <w:lang w:val="en-US"/>
          </w:rPr>
          <w:t>Analyzing text</w:t>
        </w:r>
      </w:hyperlink>
      <w:r w:rsidR="00893C5E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en-US"/>
        </w:rPr>
        <w:t xml:space="preserve">and dummy variables for the amenities etc. </w:t>
      </w:r>
    </w:p>
    <w:p w14:paraId="381768CD" w14:textId="77777777" w:rsidR="008057EB" w:rsidRDefault="008057EB" w:rsidP="008057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Conducting descriptive analysis of the competitor set and benchmark the performance of your selected listing to the competitors.</w:t>
      </w:r>
    </w:p>
    <w:p w14:paraId="612797C6" w14:textId="3A41B428" w:rsidR="008057EB" w:rsidRDefault="008057EB" w:rsidP="008057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Performing clustering analysis based on the amenities and creat</w:t>
      </w:r>
      <w:r w:rsidR="00636567">
        <w:rPr>
          <w:rFonts w:ascii="Times New Roman" w:hAnsi="Times New Roman" w:cs="Times New Roman"/>
          <w:lang w:val="en-US"/>
        </w:rPr>
        <w:t>ing</w:t>
      </w:r>
      <w:r>
        <w:rPr>
          <w:rFonts w:ascii="Times New Roman" w:hAnsi="Times New Roman" w:cs="Times New Roman"/>
          <w:lang w:val="en-US"/>
        </w:rPr>
        <w:t xml:space="preserve"> cluster</w:t>
      </w:r>
      <w:r w:rsidR="00893C5E">
        <w:rPr>
          <w:rFonts w:ascii="Times New Roman" w:hAnsi="Times New Roman" w:cs="Times New Roman"/>
          <w:lang w:val="en-US"/>
        </w:rPr>
        <w:t xml:space="preserve"> label</w:t>
      </w:r>
      <w:r>
        <w:rPr>
          <w:rFonts w:ascii="Times New Roman" w:hAnsi="Times New Roman" w:cs="Times New Roman"/>
          <w:lang w:val="en-US"/>
        </w:rPr>
        <w:t xml:space="preserve"> </w:t>
      </w:r>
      <w:r w:rsidR="00893C5E">
        <w:rPr>
          <w:rFonts w:ascii="Times New Roman" w:hAnsi="Times New Roman" w:cs="Times New Roman"/>
          <w:lang w:val="en-US"/>
        </w:rPr>
        <w:t xml:space="preserve">variables to identify the cluster group of an observation (refer to week 9 in lecture demo – </w:t>
      </w:r>
      <w:hyperlink r:id="rId6" w:history="1">
        <w:r w:rsidR="00893C5E" w:rsidRPr="001B4573">
          <w:rPr>
            <w:rStyle w:val="Hyperlink"/>
            <w:rFonts w:ascii="Times New Roman" w:hAnsi="Times New Roman" w:cs="Times New Roman"/>
            <w:lang w:val="en-US"/>
          </w:rPr>
          <w:t>shoe sales clusters.csv</w:t>
        </w:r>
      </w:hyperlink>
      <w:r w:rsidR="00893C5E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en-US"/>
        </w:rPr>
        <w:t xml:space="preserve">for further analysis. </w:t>
      </w:r>
    </w:p>
    <w:p w14:paraId="68411BAF" w14:textId="486890F7" w:rsidR="00893C5E" w:rsidRDefault="00893C5E" w:rsidP="008057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Based on the cluster label variable, you will examine the roles of different clusters you explore</w:t>
      </w:r>
      <w:r w:rsidR="001B4573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</w:t>
      </w:r>
      <w:r w:rsidR="001B4573">
        <w:rPr>
          <w:rFonts w:ascii="Times New Roman" w:hAnsi="Times New Roman" w:cs="Times New Roman"/>
          <w:lang w:val="en-US"/>
        </w:rPr>
        <w:t>from the clustering analysis</w:t>
      </w:r>
      <w:r>
        <w:rPr>
          <w:rFonts w:ascii="Times New Roman" w:hAnsi="Times New Roman" w:cs="Times New Roman"/>
          <w:lang w:val="en-US"/>
        </w:rPr>
        <w:t xml:space="preserve"> to predict the EWOM of the listings. More specifically, you </w:t>
      </w:r>
      <w:r w:rsidR="001B4573">
        <w:rPr>
          <w:rFonts w:ascii="Times New Roman" w:hAnsi="Times New Roman" w:cs="Times New Roman"/>
          <w:lang w:val="en-US"/>
        </w:rPr>
        <w:t>can</w:t>
      </w:r>
      <w:r>
        <w:rPr>
          <w:rFonts w:ascii="Times New Roman" w:hAnsi="Times New Roman" w:cs="Times New Roman"/>
          <w:lang w:val="en-US"/>
        </w:rPr>
        <w:t xml:space="preserve"> build a regression model to examine the relationship between cluster groups and EWOM.</w:t>
      </w:r>
    </w:p>
    <w:p w14:paraId="3FC35016" w14:textId="4562ABD1" w:rsidR="001B4573" w:rsidRDefault="001B4573" w:rsidP="001B45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You can use the findings you obtained </w:t>
      </w:r>
      <w:r w:rsidR="00BB1E8A">
        <w:rPr>
          <w:rFonts w:ascii="Times New Roman" w:hAnsi="Times New Roman" w:cs="Times New Roman"/>
          <w:lang w:val="en-US"/>
        </w:rPr>
        <w:t xml:space="preserve">from this report </w:t>
      </w:r>
      <w:r>
        <w:rPr>
          <w:rFonts w:ascii="Times New Roman" w:hAnsi="Times New Roman" w:cs="Times New Roman"/>
          <w:lang w:val="en-US"/>
        </w:rPr>
        <w:t xml:space="preserve">to benchmark the existing findings in the literature or industrial reports for the discussion part. For example, </w:t>
      </w:r>
      <w:r w:rsidR="00BB1E8A">
        <w:rPr>
          <w:rFonts w:ascii="Times New Roman" w:hAnsi="Times New Roman" w:cs="Times New Roman"/>
          <w:lang w:val="en-US"/>
        </w:rPr>
        <w:t xml:space="preserve">can your findings extend the implications from Lee et al. (2019) about the recommendation for </w:t>
      </w:r>
      <w:proofErr w:type="spellStart"/>
      <w:r w:rsidR="00BB1E8A">
        <w:rPr>
          <w:rFonts w:ascii="Times New Roman" w:hAnsi="Times New Roman" w:cs="Times New Roman"/>
          <w:lang w:val="en-US"/>
        </w:rPr>
        <w:t>AirBnB</w:t>
      </w:r>
      <w:proofErr w:type="spellEnd"/>
      <w:r w:rsidR="00BB1E8A">
        <w:rPr>
          <w:rFonts w:ascii="Times New Roman" w:hAnsi="Times New Roman" w:cs="Times New Roman"/>
          <w:lang w:val="en-US"/>
        </w:rPr>
        <w:t xml:space="preserve"> hosts? </w:t>
      </w:r>
    </w:p>
    <w:p w14:paraId="72295D89" w14:textId="77777777" w:rsidR="00BB1E8A" w:rsidRDefault="00BB1E8A" w:rsidP="00BB1E8A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AF72A0">
        <w:rPr>
          <w:rFonts w:ascii="Times New Roman" w:hAnsi="Times New Roman" w:cs="Times New Roman"/>
          <w:i/>
          <w:iCs/>
          <w:lang w:val="en-US"/>
        </w:rPr>
        <w:t>Conclusion</w:t>
      </w:r>
    </w:p>
    <w:p w14:paraId="37F634CD" w14:textId="480ADF5B" w:rsidR="00BB1E8A" w:rsidRDefault="00BB1E8A" w:rsidP="00BB1E8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Summariz</w:t>
      </w:r>
      <w:r w:rsidR="00636567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 xml:space="preserve"> the key actions points for managers of your selected listing to consider based on your analysis of the competitors.</w:t>
      </w:r>
    </w:p>
    <w:p w14:paraId="75665720" w14:textId="1084177F" w:rsidR="00BB1E8A" w:rsidRDefault="00BB1E8A" w:rsidP="00BB1E8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417AD0">
        <w:rPr>
          <w:rFonts w:ascii="Times New Roman" w:hAnsi="Times New Roman" w:cs="Times New Roman"/>
          <w:lang w:val="en-US"/>
        </w:rPr>
        <w:t>You will acknowledge the limitation of your analysis, for example</w:t>
      </w:r>
      <w:r w:rsidR="00636567">
        <w:rPr>
          <w:rFonts w:ascii="Times New Roman" w:hAnsi="Times New Roman" w:cs="Times New Roman"/>
          <w:lang w:val="en-US"/>
        </w:rPr>
        <w:t>,</w:t>
      </w:r>
      <w:r w:rsidRPr="00417AD0">
        <w:rPr>
          <w:rFonts w:ascii="Times New Roman" w:hAnsi="Times New Roman" w:cs="Times New Roman"/>
          <w:lang w:val="en-US"/>
        </w:rPr>
        <w:t xml:space="preserve"> the accuracy of sentiment analysis to appropriately measure EWOM. For future research, you might suggest the managers design</w:t>
      </w:r>
      <w:r w:rsidR="00636567">
        <w:rPr>
          <w:rFonts w:ascii="Times New Roman" w:hAnsi="Times New Roman" w:cs="Times New Roman"/>
          <w:lang w:val="en-US"/>
        </w:rPr>
        <w:t xml:space="preserve"> a</w:t>
      </w:r>
      <w:r w:rsidRPr="00417AD0">
        <w:rPr>
          <w:rFonts w:ascii="Times New Roman" w:hAnsi="Times New Roman" w:cs="Times New Roman"/>
          <w:lang w:val="en-US"/>
        </w:rPr>
        <w:t xml:space="preserve"> questionnaire (with some example scales and questions) to </w:t>
      </w:r>
      <w:r w:rsidR="00417AD0">
        <w:rPr>
          <w:rFonts w:ascii="Times New Roman" w:hAnsi="Times New Roman" w:cs="Times New Roman"/>
          <w:lang w:val="en-US"/>
        </w:rPr>
        <w:t xml:space="preserve">survey the customer’s expectations for different amenities or service attributes. </w:t>
      </w:r>
    </w:p>
    <w:p w14:paraId="0F627977" w14:textId="594AB871" w:rsidR="00301A30" w:rsidRDefault="00301A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292B63F" w14:textId="65007BD2" w:rsidR="00301A30" w:rsidRDefault="00301A30" w:rsidP="00301A3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APPENDIX I – FORMATTING REQUIREMNTS</w:t>
      </w:r>
    </w:p>
    <w:p w14:paraId="0CB3B358" w14:textId="0DEEDDF9" w:rsidR="00EB7A70" w:rsidRPr="0027213C" w:rsidRDefault="00EB7A70" w:rsidP="00EB7A70">
      <w:pPr>
        <w:jc w:val="center"/>
        <w:rPr>
          <w:b/>
          <w:sz w:val="36"/>
          <w:szCs w:val="36"/>
        </w:rPr>
      </w:pPr>
      <w:r w:rsidRPr="0027213C">
        <w:rPr>
          <w:b/>
          <w:color w:val="0070C0"/>
          <w:sz w:val="36"/>
          <w:szCs w:val="36"/>
        </w:rPr>
        <w:t>&lt;T</w:t>
      </w:r>
      <w:r>
        <w:rPr>
          <w:b/>
          <w:color w:val="0070C0"/>
          <w:sz w:val="36"/>
          <w:szCs w:val="36"/>
        </w:rPr>
        <w:t>itle</w:t>
      </w:r>
      <w:r w:rsidRPr="0027213C">
        <w:rPr>
          <w:b/>
          <w:color w:val="0070C0"/>
          <w:sz w:val="36"/>
          <w:szCs w:val="36"/>
        </w:rPr>
        <w:t>&gt;</w:t>
      </w:r>
      <w:r w:rsidRPr="0027213C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br/>
      </w:r>
      <w:r w:rsidRPr="00EB7A70">
        <w:rPr>
          <w:rFonts w:ascii="Times New Roman" w:hAnsi="Times New Roman" w:cs="Times New Roman"/>
          <w:b/>
          <w:sz w:val="36"/>
          <w:szCs w:val="36"/>
        </w:rPr>
        <w:t xml:space="preserve">Instructions for preparing your assignment for </w:t>
      </w:r>
      <w:r w:rsidRPr="00EB7A70">
        <w:rPr>
          <w:rFonts w:ascii="Times New Roman" w:hAnsi="Times New Roman" w:cs="Times New Roman"/>
          <w:b/>
          <w:sz w:val="36"/>
          <w:szCs w:val="36"/>
        </w:rPr>
        <w:br/>
        <w:t xml:space="preserve">the </w:t>
      </w:r>
      <w:r w:rsidR="005D1ECE">
        <w:rPr>
          <w:rFonts w:ascii="Times New Roman" w:hAnsi="Times New Roman" w:cs="Times New Roman"/>
          <w:b/>
          <w:sz w:val="36"/>
          <w:szCs w:val="36"/>
        </w:rPr>
        <w:t>Data Analytics in Business:</w:t>
      </w:r>
      <w:r w:rsidRPr="00EB7A70">
        <w:rPr>
          <w:rFonts w:ascii="Times New Roman" w:hAnsi="Times New Roman" w:cs="Times New Roman"/>
          <w:b/>
          <w:sz w:val="36"/>
          <w:szCs w:val="36"/>
        </w:rPr>
        <w:br/>
        <w:t xml:space="preserve">(Times New Roman, bold, 18 </w:t>
      </w:r>
      <w:proofErr w:type="spellStart"/>
      <w:r w:rsidRPr="00EB7A70">
        <w:rPr>
          <w:rFonts w:ascii="Times New Roman" w:hAnsi="Times New Roman" w:cs="Times New Roman"/>
          <w:b/>
          <w:sz w:val="36"/>
          <w:szCs w:val="36"/>
        </w:rPr>
        <w:t>pt</w:t>
      </w:r>
      <w:proofErr w:type="spellEnd"/>
      <w:r w:rsidRPr="00EB7A70">
        <w:rPr>
          <w:rFonts w:ascii="Times New Roman" w:hAnsi="Times New Roman" w:cs="Times New Roman"/>
          <w:b/>
          <w:sz w:val="36"/>
          <w:szCs w:val="36"/>
        </w:rPr>
        <w:t>, single space, no capitalization)</w:t>
      </w:r>
    </w:p>
    <w:p w14:paraId="64F3F23C" w14:textId="77777777" w:rsidR="00EB7A70" w:rsidRPr="0027213C" w:rsidRDefault="00EB7A70" w:rsidP="00EB7A70">
      <w:pPr>
        <w:pStyle w:val="Affiliation"/>
        <w:spacing w:after="0" w:line="240" w:lineRule="auto"/>
        <w:rPr>
          <w:color w:val="0070C0"/>
          <w:sz w:val="32"/>
          <w:szCs w:val="32"/>
          <w:lang w:val="en-GB" w:eastAsia="en-IE"/>
        </w:rPr>
      </w:pPr>
      <w:r w:rsidRPr="00F50E74">
        <w:rPr>
          <w:color w:val="0070C0"/>
          <w:sz w:val="32"/>
          <w:szCs w:val="32"/>
          <w:highlight w:val="yellow"/>
          <w:lang w:val="en-GB" w:eastAsia="en-IE"/>
        </w:rPr>
        <w:t xml:space="preserve">&lt;ATTENTION: </w:t>
      </w:r>
      <w:r w:rsidRPr="00F50E74">
        <w:rPr>
          <w:color w:val="0070C0"/>
          <w:sz w:val="32"/>
          <w:szCs w:val="32"/>
          <w:highlight w:val="yellow"/>
          <w:u w:val="single"/>
          <w:lang w:val="en-GB" w:eastAsia="en-IE"/>
        </w:rPr>
        <w:t>remove all blue instructions in angle brackets</w:t>
      </w:r>
      <w:r w:rsidRPr="00F50E74">
        <w:rPr>
          <w:color w:val="0070C0"/>
          <w:sz w:val="32"/>
          <w:szCs w:val="32"/>
          <w:highlight w:val="yellow"/>
          <w:lang w:val="en-GB" w:eastAsia="en-IE"/>
        </w:rPr>
        <w:t>!&gt;</w:t>
      </w:r>
    </w:p>
    <w:p w14:paraId="7DA0DBA2" w14:textId="77777777" w:rsidR="00EB7A70" w:rsidRPr="0027213C" w:rsidRDefault="00EB7A70" w:rsidP="00EB7A70">
      <w:pPr>
        <w:pStyle w:val="Affiliation"/>
        <w:spacing w:after="0" w:line="240" w:lineRule="auto"/>
        <w:jc w:val="left"/>
        <w:rPr>
          <w:sz w:val="24"/>
          <w:szCs w:val="24"/>
          <w:lang w:val="en-GB"/>
        </w:rPr>
      </w:pPr>
    </w:p>
    <w:p w14:paraId="1F16CF03" w14:textId="77777777" w:rsidR="00EB7A70" w:rsidRPr="0027213C" w:rsidRDefault="00EB7A70" w:rsidP="00EB7A70">
      <w:pPr>
        <w:pStyle w:val="BodyText"/>
        <w:spacing w:before="0"/>
      </w:pPr>
    </w:p>
    <w:p w14:paraId="491074FD" w14:textId="77777777" w:rsidR="00EB7A70" w:rsidRPr="004809C8" w:rsidRDefault="00EB7A70" w:rsidP="00EB7A70">
      <w:pPr>
        <w:pStyle w:val="BodyText"/>
        <w:spacing w:before="0"/>
      </w:pPr>
      <w:r w:rsidRPr="004809C8">
        <w:rPr>
          <w:color w:val="0070C0"/>
        </w:rPr>
        <w:t>&lt;2 lines spacing&gt;</w:t>
      </w:r>
    </w:p>
    <w:p w14:paraId="1764F204" w14:textId="77777777" w:rsidR="00EB7A70" w:rsidRPr="0027213C" w:rsidRDefault="00EB7A70" w:rsidP="00EB7A70">
      <w:pPr>
        <w:pStyle w:val="BodyText"/>
        <w:spacing w:before="0"/>
        <w:rPr>
          <w:b/>
        </w:rPr>
      </w:pPr>
      <w:r w:rsidRPr="0027213C">
        <w:rPr>
          <w:b/>
          <w:bCs/>
        </w:rPr>
        <w:t xml:space="preserve">General instructions (Section heading: Times New Roman, bold, 12 </w:t>
      </w:r>
      <w:proofErr w:type="spellStart"/>
      <w:r w:rsidRPr="0027213C">
        <w:rPr>
          <w:b/>
          <w:bCs/>
        </w:rPr>
        <w:t>pt</w:t>
      </w:r>
      <w:proofErr w:type="spellEnd"/>
      <w:r w:rsidRPr="0027213C">
        <w:rPr>
          <w:b/>
          <w:bCs/>
        </w:rPr>
        <w:t>, no numbering)</w:t>
      </w:r>
    </w:p>
    <w:p w14:paraId="16A550B5" w14:textId="77777777" w:rsidR="00EB7A70" w:rsidRPr="0027213C" w:rsidRDefault="00EB7A70" w:rsidP="00EB7A70">
      <w:pPr>
        <w:pStyle w:val="BodyText"/>
        <w:spacing w:before="0"/>
      </w:pPr>
      <w:r w:rsidRPr="0027213C">
        <w:t xml:space="preserve">The paper should be prepared using ISO A4 paper size (210 x 297 mm) using </w:t>
      </w:r>
      <w:r w:rsidRPr="00F50E74">
        <w:rPr>
          <w:bCs/>
        </w:rPr>
        <w:t xml:space="preserve">Times New Roman (12 </w:t>
      </w:r>
      <w:proofErr w:type="spellStart"/>
      <w:r w:rsidRPr="00F50E74">
        <w:rPr>
          <w:bCs/>
        </w:rPr>
        <w:t>pt</w:t>
      </w:r>
      <w:proofErr w:type="spellEnd"/>
      <w:r w:rsidRPr="00F50E74">
        <w:rPr>
          <w:bCs/>
        </w:rPr>
        <w:t xml:space="preserve">, justified) </w:t>
      </w:r>
      <w:r w:rsidRPr="0027213C">
        <w:t>font according to the format described in this template.</w:t>
      </w:r>
      <w:r>
        <w:t xml:space="preserve"> </w:t>
      </w:r>
      <w:r w:rsidRPr="0027213C">
        <w:t>The first paragraph of each section and subsection should not be indented.</w:t>
      </w:r>
    </w:p>
    <w:p w14:paraId="5F15EDA5" w14:textId="77777777" w:rsidR="00EB7A70" w:rsidRPr="0027213C" w:rsidRDefault="00EB7A70" w:rsidP="00EB7A70">
      <w:pPr>
        <w:pStyle w:val="BodyText"/>
        <w:spacing w:before="0"/>
        <w:ind w:firstLine="284"/>
      </w:pPr>
    </w:p>
    <w:p w14:paraId="674AAE21" w14:textId="77777777" w:rsidR="00EB7A70" w:rsidRPr="0027213C" w:rsidRDefault="00EB7A70" w:rsidP="00EB7A70">
      <w:pPr>
        <w:pStyle w:val="BodyText"/>
        <w:spacing w:before="0"/>
        <w:ind w:firstLine="284"/>
      </w:pPr>
      <w:r w:rsidRPr="0027213C">
        <w:t>Following paragraphs indented 0.5 cm.</w:t>
      </w:r>
    </w:p>
    <w:p w14:paraId="37070400" w14:textId="77777777" w:rsidR="00EB7A70" w:rsidRPr="0027213C" w:rsidRDefault="00EB7A70" w:rsidP="00EB7A70">
      <w:pPr>
        <w:pStyle w:val="BodyText"/>
        <w:spacing w:before="0"/>
        <w:ind w:firstLine="284"/>
      </w:pPr>
      <w:r w:rsidRPr="0027213C">
        <w:t>Margins should be</w:t>
      </w:r>
      <w:r>
        <w:t xml:space="preserve"> as follows</w:t>
      </w:r>
      <w:r w:rsidRPr="0027213C">
        <w:t xml:space="preserve">: top 3 cm, bottom 2 cm, left and right 3 cm each. </w:t>
      </w:r>
    </w:p>
    <w:p w14:paraId="23314FF0" w14:textId="77777777" w:rsidR="00EB7A70" w:rsidRPr="0027213C" w:rsidRDefault="00EB7A70" w:rsidP="00EB7A70">
      <w:pPr>
        <w:pStyle w:val="BodyText"/>
        <w:spacing w:before="0"/>
        <w:ind w:firstLine="284"/>
        <w:rPr>
          <w:b/>
          <w:bCs/>
          <w:i/>
          <w:iCs/>
        </w:rPr>
      </w:pPr>
    </w:p>
    <w:p w14:paraId="35D47F28" w14:textId="77777777" w:rsidR="00EB7A70" w:rsidRPr="0027213C" w:rsidRDefault="00EB7A70" w:rsidP="00EB7A70">
      <w:pPr>
        <w:pStyle w:val="BodyText"/>
        <w:spacing w:before="0"/>
        <w:ind w:firstLine="284"/>
        <w:rPr>
          <w:color w:val="0070C0"/>
        </w:rPr>
      </w:pPr>
      <w:r w:rsidRPr="0027213C">
        <w:rPr>
          <w:color w:val="0070C0"/>
        </w:rPr>
        <w:t xml:space="preserve">&lt;1 line spacing before </w:t>
      </w:r>
      <w:r>
        <w:rPr>
          <w:color w:val="0070C0"/>
        </w:rPr>
        <w:t xml:space="preserve">the </w:t>
      </w:r>
      <w:r w:rsidRPr="0027213C">
        <w:rPr>
          <w:color w:val="0070C0"/>
        </w:rPr>
        <w:t xml:space="preserve">subheading and section heading, no </w:t>
      </w:r>
      <w:r>
        <w:rPr>
          <w:color w:val="0070C0"/>
        </w:rPr>
        <w:t xml:space="preserve">line </w:t>
      </w:r>
      <w:r w:rsidRPr="0027213C">
        <w:rPr>
          <w:color w:val="0070C0"/>
        </w:rPr>
        <w:t>spac</w:t>
      </w:r>
      <w:r>
        <w:rPr>
          <w:color w:val="0070C0"/>
        </w:rPr>
        <w:t xml:space="preserve">ing </w:t>
      </w:r>
      <w:r w:rsidRPr="0027213C">
        <w:rPr>
          <w:color w:val="0070C0"/>
        </w:rPr>
        <w:t>after</w:t>
      </w:r>
      <w:r>
        <w:rPr>
          <w:color w:val="0070C0"/>
        </w:rPr>
        <w:t xml:space="preserve"> the</w:t>
      </w:r>
      <w:r w:rsidRPr="0027213C">
        <w:rPr>
          <w:color w:val="0070C0"/>
        </w:rPr>
        <w:t xml:space="preserve"> heading and</w:t>
      </w:r>
      <w:r>
        <w:rPr>
          <w:color w:val="0070C0"/>
        </w:rPr>
        <w:t xml:space="preserve"> </w:t>
      </w:r>
      <w:r w:rsidRPr="0027213C">
        <w:rPr>
          <w:color w:val="0070C0"/>
        </w:rPr>
        <w:t>subheading&gt;</w:t>
      </w:r>
    </w:p>
    <w:p w14:paraId="341EFA9F" w14:textId="77777777" w:rsidR="00EB7A70" w:rsidRPr="0027213C" w:rsidRDefault="00EB7A70" w:rsidP="00EB7A70">
      <w:pPr>
        <w:pStyle w:val="BodyText"/>
        <w:spacing w:before="0"/>
        <w:rPr>
          <w:i/>
          <w:iCs/>
        </w:rPr>
      </w:pPr>
      <w:r w:rsidRPr="0027213C">
        <w:rPr>
          <w:i/>
          <w:iCs/>
        </w:rPr>
        <w:t xml:space="preserve">Other details (subheading: Times New Roman, italics, 12 </w:t>
      </w:r>
      <w:proofErr w:type="spellStart"/>
      <w:r w:rsidRPr="0027213C">
        <w:rPr>
          <w:i/>
          <w:iCs/>
        </w:rPr>
        <w:t>pt</w:t>
      </w:r>
      <w:proofErr w:type="spellEnd"/>
      <w:r w:rsidRPr="0027213C">
        <w:rPr>
          <w:i/>
          <w:iCs/>
        </w:rPr>
        <w:t>, no numbering)</w:t>
      </w:r>
    </w:p>
    <w:p w14:paraId="23817E7B" w14:textId="77777777" w:rsidR="00EB7A70" w:rsidRPr="0027213C" w:rsidRDefault="00EB7A70" w:rsidP="00EB7A70">
      <w:pPr>
        <w:pStyle w:val="BodyText"/>
        <w:spacing w:before="0"/>
      </w:pPr>
      <w:r w:rsidRPr="0027213C">
        <w:t xml:space="preserve">Pages should be numbered in the page footer, including the first page, as </w:t>
      </w:r>
      <w:r>
        <w:t>demonstrated in this document</w:t>
      </w:r>
      <w:r w:rsidRPr="0027213C">
        <w:t xml:space="preserve">. </w:t>
      </w:r>
    </w:p>
    <w:p w14:paraId="39DDEA8F" w14:textId="77777777" w:rsidR="00EB7A70" w:rsidRPr="0027213C" w:rsidRDefault="00EB7A70" w:rsidP="00EB7A70">
      <w:pPr>
        <w:pStyle w:val="BodyText"/>
        <w:spacing w:before="0"/>
        <w:ind w:firstLine="284"/>
      </w:pPr>
      <w:r w:rsidRPr="0027213C">
        <w:t xml:space="preserve">Bulleted or numbered lists should have </w:t>
      </w:r>
      <w:r>
        <w:t xml:space="preserve">a </w:t>
      </w:r>
      <w:r w:rsidRPr="0027213C">
        <w:t xml:space="preserve">hanging indent </w:t>
      </w:r>
      <w:r>
        <w:t>of</w:t>
      </w:r>
      <w:r w:rsidRPr="0027213C">
        <w:t xml:space="preserve"> 0.5 cm. Avoid using more than two levels in the lists.</w:t>
      </w:r>
    </w:p>
    <w:p w14:paraId="117C3A6E" w14:textId="77777777" w:rsidR="00EB7A70" w:rsidRPr="0027213C" w:rsidRDefault="00EB7A70" w:rsidP="00EB7A70">
      <w:pPr>
        <w:pStyle w:val="BodyText"/>
        <w:spacing w:before="0"/>
        <w:ind w:firstLine="284"/>
      </w:pPr>
      <w:r w:rsidRPr="0027213C">
        <w:t>Following paragraphs indented 0.5 cm.</w:t>
      </w:r>
    </w:p>
    <w:p w14:paraId="65DA5691" w14:textId="77777777" w:rsidR="00EB7A70" w:rsidRPr="0027213C" w:rsidRDefault="00EB7A70" w:rsidP="00EB7A70">
      <w:pPr>
        <w:pStyle w:val="BodyText"/>
        <w:spacing w:before="0"/>
        <w:ind w:firstLine="284"/>
      </w:pPr>
      <w:r w:rsidRPr="0027213C">
        <w:t>Footnotes should be avoided. The corresponding text should be incorporated in the</w:t>
      </w:r>
      <w:r>
        <w:t xml:space="preserve"> </w:t>
      </w:r>
      <w:r w:rsidRPr="0027213C">
        <w:t>main text.</w:t>
      </w:r>
    </w:p>
    <w:p w14:paraId="0437D2E5" w14:textId="77777777" w:rsidR="00EB7A70" w:rsidRDefault="00EB7A70" w:rsidP="00EB7A70">
      <w:pPr>
        <w:pStyle w:val="BodyText"/>
        <w:spacing w:before="0"/>
        <w:ind w:firstLine="284"/>
      </w:pPr>
      <w:r w:rsidRPr="0027213C">
        <w:t>Equations should be typed flush with the left-hand margin and numbered</w:t>
      </w:r>
      <w:r>
        <w:t xml:space="preserve"> </w:t>
      </w:r>
      <w:r w:rsidRPr="0027213C">
        <w:t>consecutively with numbers in brackets on the right. Leave single spacing above and</w:t>
      </w:r>
      <w:r>
        <w:t xml:space="preserve"> </w:t>
      </w:r>
      <w:r w:rsidRPr="0027213C">
        <w:t xml:space="preserve">below equations, </w:t>
      </w:r>
      <w:r>
        <w:t>as</w:t>
      </w:r>
      <w:r w:rsidRPr="0027213C">
        <w:t xml:space="preserve"> shown </w:t>
      </w:r>
      <w:r>
        <w:t>below.</w:t>
      </w:r>
    </w:p>
    <w:p w14:paraId="6CA242FA" w14:textId="77777777" w:rsidR="00EB7A70" w:rsidRDefault="00EB7A70" w:rsidP="00EB7A70">
      <w:pPr>
        <w:pStyle w:val="BodyText"/>
        <w:spacing w:before="0"/>
      </w:pPr>
    </w:p>
    <w:p w14:paraId="27F05BF8" w14:textId="77777777" w:rsidR="00EB7A70" w:rsidRPr="00466B93" w:rsidRDefault="00EB7A70" w:rsidP="00EB7A70">
      <w:pPr>
        <w:pStyle w:val="Affiliation"/>
        <w:spacing w:after="0" w:line="240" w:lineRule="auto"/>
        <w:jc w:val="left"/>
        <w:rPr>
          <w:color w:val="0070C0"/>
          <w:sz w:val="24"/>
          <w:szCs w:val="24"/>
          <w:lang w:val="en-GB"/>
        </w:rPr>
      </w:pPr>
      <w:r w:rsidRPr="00466B93">
        <w:rPr>
          <w:color w:val="0070C0"/>
          <w:sz w:val="24"/>
          <w:szCs w:val="24"/>
          <w:lang w:val="en-GB"/>
        </w:rPr>
        <w:t xml:space="preserve">&lt;1 line spacing before </w:t>
      </w:r>
      <w:r>
        <w:rPr>
          <w:color w:val="0070C0"/>
          <w:sz w:val="24"/>
          <w:szCs w:val="24"/>
          <w:lang w:val="en-GB"/>
        </w:rPr>
        <w:t>equation</w:t>
      </w:r>
      <w:r w:rsidRPr="00466B93">
        <w:rPr>
          <w:color w:val="0070C0"/>
          <w:sz w:val="24"/>
          <w:szCs w:val="24"/>
          <w:lang w:val="en-GB"/>
        </w:rPr>
        <w:t>&gt;</w:t>
      </w:r>
    </w:p>
    <w:p w14:paraId="4B050957" w14:textId="77777777" w:rsidR="00EB7A70" w:rsidRDefault="00EB7A70" w:rsidP="00EB7A70">
      <w:pPr>
        <w:pStyle w:val="BodyText"/>
        <w:spacing w:before="0"/>
      </w:pPr>
      <w:r>
        <w:t>Equation (1):</w:t>
      </w:r>
    </w:p>
    <w:p w14:paraId="1B443D0D" w14:textId="77777777" w:rsidR="00EB7A70" w:rsidRPr="00B423EB" w:rsidRDefault="00EB7A70" w:rsidP="00EB7A70">
      <w:pPr>
        <w:pStyle w:val="BodyText"/>
        <w:spacing w:before="0"/>
      </w:pPr>
      <w:r w:rsidRPr="00B423EB">
        <w:rPr>
          <w:i/>
          <w:iCs/>
        </w:rPr>
        <w:t>N</w:t>
      </w:r>
    </w:p>
    <w:p w14:paraId="23E6EB86" w14:textId="77777777" w:rsidR="00EB7A70" w:rsidRPr="00B423EB" w:rsidRDefault="00EB7A70" w:rsidP="00EB7A70">
      <w:pPr>
        <w:pStyle w:val="BodyText"/>
        <w:spacing w:before="0"/>
        <w:rPr>
          <w:lang w:eastAsia="en-IE"/>
        </w:rPr>
      </w:pPr>
      <w:r w:rsidRPr="00B423EB">
        <w:rPr>
          <w:lang w:eastAsia="en-IE"/>
        </w:rPr>
        <w:t xml:space="preserve">Σ </w:t>
      </w:r>
      <w:r w:rsidRPr="00B423EB">
        <w:rPr>
          <w:i/>
          <w:lang w:eastAsia="en-IE"/>
        </w:rPr>
        <w:t>x</w:t>
      </w:r>
      <w:r w:rsidRPr="00B423EB">
        <w:rPr>
          <w:i/>
          <w:vertAlign w:val="subscript"/>
          <w:lang w:eastAsia="en-IE"/>
        </w:rPr>
        <w:t xml:space="preserve">i = </w:t>
      </w:r>
      <w:r w:rsidRPr="00B423EB">
        <w:rPr>
          <w:i/>
          <w:lang w:eastAsia="en-IE"/>
        </w:rPr>
        <w:t>δ</w:t>
      </w:r>
    </w:p>
    <w:p w14:paraId="6CE63850" w14:textId="77777777" w:rsidR="00EB7A70" w:rsidRPr="00B423EB" w:rsidRDefault="00EB7A70" w:rsidP="00EB7A70">
      <w:pPr>
        <w:pStyle w:val="BodyText"/>
        <w:spacing w:before="0"/>
      </w:pPr>
      <w:proofErr w:type="spellStart"/>
      <w:r w:rsidRPr="00B423EB">
        <w:rPr>
          <w:i/>
          <w:iCs/>
        </w:rPr>
        <w:t>i</w:t>
      </w:r>
      <w:proofErr w:type="spellEnd"/>
      <w:r w:rsidRPr="00B423EB">
        <w:rPr>
          <w:i/>
          <w:iCs/>
        </w:rPr>
        <w:t>=1</w:t>
      </w:r>
    </w:p>
    <w:p w14:paraId="570B3D96" w14:textId="77777777" w:rsidR="00EB7A70" w:rsidRDefault="00EB7A70" w:rsidP="00EB7A70">
      <w:pPr>
        <w:pStyle w:val="BodyText"/>
        <w:spacing w:before="0"/>
      </w:pPr>
    </w:p>
    <w:p w14:paraId="65468C51" w14:textId="77777777" w:rsidR="00EB7A70" w:rsidRPr="00466B93" w:rsidRDefault="00EB7A70" w:rsidP="00EB7A70">
      <w:pPr>
        <w:pStyle w:val="Affiliation"/>
        <w:spacing w:after="0" w:line="240" w:lineRule="auto"/>
        <w:jc w:val="left"/>
        <w:rPr>
          <w:color w:val="0070C0"/>
          <w:sz w:val="24"/>
          <w:szCs w:val="24"/>
          <w:lang w:val="en-GB"/>
        </w:rPr>
      </w:pPr>
      <w:r w:rsidRPr="00466B93">
        <w:rPr>
          <w:color w:val="0070C0"/>
          <w:sz w:val="24"/>
          <w:szCs w:val="24"/>
          <w:lang w:val="en-GB"/>
        </w:rPr>
        <w:t xml:space="preserve">&lt;1 line spacing </w:t>
      </w:r>
      <w:r>
        <w:rPr>
          <w:color w:val="0070C0"/>
          <w:sz w:val="24"/>
          <w:szCs w:val="24"/>
          <w:lang w:val="en-GB"/>
        </w:rPr>
        <w:t>after</w:t>
      </w:r>
      <w:r w:rsidRPr="00466B93">
        <w:rPr>
          <w:color w:val="0070C0"/>
          <w:sz w:val="24"/>
          <w:szCs w:val="24"/>
          <w:lang w:val="en-GB"/>
        </w:rPr>
        <w:t xml:space="preserve"> </w:t>
      </w:r>
      <w:r>
        <w:rPr>
          <w:color w:val="0070C0"/>
          <w:sz w:val="24"/>
          <w:szCs w:val="24"/>
          <w:lang w:val="en-GB"/>
        </w:rPr>
        <w:t>equation</w:t>
      </w:r>
      <w:r w:rsidRPr="00466B93">
        <w:rPr>
          <w:color w:val="0070C0"/>
          <w:sz w:val="24"/>
          <w:szCs w:val="24"/>
          <w:lang w:val="en-GB"/>
        </w:rPr>
        <w:t>&gt;</w:t>
      </w:r>
    </w:p>
    <w:p w14:paraId="5E81DDAF" w14:textId="77777777" w:rsidR="00EB7A70" w:rsidRDefault="00EB7A70" w:rsidP="00EB7A70">
      <w:pPr>
        <w:pStyle w:val="BodyText"/>
        <w:spacing w:before="0"/>
        <w:ind w:firstLine="284"/>
      </w:pPr>
      <w:r w:rsidRPr="0027213C">
        <w:t xml:space="preserve">Figures and tables </w:t>
      </w:r>
      <w:r>
        <w:t>must</w:t>
      </w:r>
      <w:r w:rsidRPr="0027213C">
        <w:t xml:space="preserve"> be included in the main text and be individually numbered and captioned. Illustrations should be sharp and clear. </w:t>
      </w:r>
    </w:p>
    <w:p w14:paraId="37226FBF" w14:textId="77777777" w:rsidR="00EB7A70" w:rsidRDefault="00EB7A70" w:rsidP="00EB7A70">
      <w:pPr>
        <w:pStyle w:val="BodyText"/>
        <w:spacing w:before="0"/>
        <w:ind w:firstLine="284"/>
      </w:pPr>
      <w:r>
        <w:t>The placement of f</w:t>
      </w:r>
      <w:r w:rsidRPr="0027213C">
        <w:t>igures</w:t>
      </w:r>
      <w:r>
        <w:t>,</w:t>
      </w:r>
      <w:r w:rsidRPr="0027213C">
        <w:t xml:space="preserve"> tables</w:t>
      </w:r>
      <w:r>
        <w:t>, and illustrations</w:t>
      </w:r>
      <w:r w:rsidRPr="0027213C">
        <w:t xml:space="preserve"> </w:t>
      </w:r>
      <w:r>
        <w:t xml:space="preserve">should be aligned as </w:t>
      </w:r>
      <w:proofErr w:type="spellStart"/>
      <w:r w:rsidRPr="0027213C">
        <w:t>centered</w:t>
      </w:r>
      <w:proofErr w:type="spellEnd"/>
      <w:r>
        <w:t xml:space="preserve"> within the document</w:t>
      </w:r>
      <w:r w:rsidRPr="0027213C">
        <w:t xml:space="preserve">. </w:t>
      </w:r>
    </w:p>
    <w:p w14:paraId="3F25BED0" w14:textId="77777777" w:rsidR="00EB7A70" w:rsidRDefault="00EB7A70" w:rsidP="00EB7A70">
      <w:pPr>
        <w:pStyle w:val="BodyText"/>
        <w:spacing w:before="0"/>
        <w:ind w:firstLine="284"/>
      </w:pPr>
      <w:r w:rsidRPr="0027213C">
        <w:t xml:space="preserve">Captions should be placed </w:t>
      </w:r>
      <w:r w:rsidRPr="0027213C">
        <w:rPr>
          <w:b/>
          <w:bCs/>
        </w:rPr>
        <w:t xml:space="preserve">below figures </w:t>
      </w:r>
      <w:r w:rsidRPr="0027213C">
        <w:t xml:space="preserve">and </w:t>
      </w:r>
      <w:r w:rsidRPr="0027213C">
        <w:rPr>
          <w:b/>
          <w:bCs/>
        </w:rPr>
        <w:t>above tables</w:t>
      </w:r>
      <w:r>
        <w:t>. These</w:t>
      </w:r>
      <w:r w:rsidRPr="0027213C">
        <w:t xml:space="preserve"> are </w:t>
      </w:r>
      <w:r>
        <w:t xml:space="preserve">to be </w:t>
      </w:r>
      <w:r w:rsidRPr="0027213C">
        <w:t xml:space="preserve">typed in Times New Roman 11, in italics, and </w:t>
      </w:r>
      <w:proofErr w:type="spellStart"/>
      <w:r w:rsidRPr="0027213C">
        <w:t>centered</w:t>
      </w:r>
      <w:proofErr w:type="spellEnd"/>
      <w:r w:rsidRPr="0027213C">
        <w:t xml:space="preserve">. </w:t>
      </w:r>
    </w:p>
    <w:p w14:paraId="261615E5" w14:textId="77777777" w:rsidR="00EB7A70" w:rsidRPr="0027213C" w:rsidRDefault="00EB7A70" w:rsidP="00EB7A70">
      <w:pPr>
        <w:pStyle w:val="BodyText"/>
        <w:spacing w:before="0"/>
        <w:ind w:firstLine="284"/>
      </w:pPr>
      <w:r w:rsidRPr="0027213C">
        <w:lastRenderedPageBreak/>
        <w:t>Leave one line before and after tables and figures (see examples below).</w:t>
      </w:r>
    </w:p>
    <w:p w14:paraId="3852ADFC" w14:textId="77777777" w:rsidR="00EB7A70" w:rsidRPr="0027213C" w:rsidRDefault="00EB7A70" w:rsidP="00EB7A70">
      <w:pPr>
        <w:pStyle w:val="BodyText"/>
        <w:spacing w:before="0"/>
      </w:pPr>
    </w:p>
    <w:p w14:paraId="56E97470" w14:textId="77777777" w:rsidR="00EB7A70" w:rsidRPr="00C82440" w:rsidRDefault="00EB7A70" w:rsidP="00EB7A70">
      <w:pPr>
        <w:pStyle w:val="Affiliation"/>
        <w:spacing w:after="0" w:line="240" w:lineRule="auto"/>
        <w:rPr>
          <w:color w:val="0070C0"/>
          <w:sz w:val="24"/>
          <w:szCs w:val="24"/>
          <w:lang w:val="en-GB"/>
        </w:rPr>
      </w:pPr>
      <w:r w:rsidRPr="00C82440">
        <w:rPr>
          <w:color w:val="0070C0"/>
          <w:sz w:val="24"/>
          <w:szCs w:val="24"/>
          <w:lang w:val="en-GB"/>
        </w:rPr>
        <w:t>&lt;1 line spacing before table&gt;</w:t>
      </w:r>
    </w:p>
    <w:p w14:paraId="5524C900" w14:textId="77777777" w:rsidR="00EB7A70" w:rsidRPr="0027213C" w:rsidRDefault="00EB7A70" w:rsidP="00EB7A70">
      <w:pPr>
        <w:pStyle w:val="BodyText"/>
        <w:spacing w:before="0"/>
        <w:jc w:val="center"/>
        <w:rPr>
          <w:sz w:val="22"/>
          <w:szCs w:val="22"/>
        </w:rPr>
      </w:pPr>
      <w:r w:rsidRPr="0027213C">
        <w:rPr>
          <w:i/>
          <w:iCs/>
          <w:sz w:val="22"/>
          <w:szCs w:val="22"/>
        </w:rPr>
        <w:t xml:space="preserve">Table 1 – Caption (Times New Roman, Italic, 11 </w:t>
      </w:r>
      <w:proofErr w:type="spellStart"/>
      <w:r w:rsidRPr="0027213C">
        <w:rPr>
          <w:i/>
          <w:iCs/>
          <w:sz w:val="22"/>
          <w:szCs w:val="22"/>
        </w:rPr>
        <w:t>pt</w:t>
      </w:r>
      <w:proofErr w:type="spellEnd"/>
      <w:r w:rsidRPr="0027213C">
        <w:rPr>
          <w:i/>
          <w:iCs/>
          <w:sz w:val="22"/>
          <w:szCs w:val="22"/>
        </w:rPr>
        <w:t xml:space="preserve">, </w:t>
      </w:r>
      <w:proofErr w:type="spellStart"/>
      <w:r w:rsidRPr="0027213C">
        <w:rPr>
          <w:i/>
          <w:iCs/>
          <w:sz w:val="22"/>
          <w:szCs w:val="22"/>
        </w:rPr>
        <w:t>centered</w:t>
      </w:r>
      <w:proofErr w:type="spellEnd"/>
      <w:r w:rsidRPr="0027213C">
        <w:rPr>
          <w:i/>
          <w:iCs/>
          <w:sz w:val="22"/>
          <w:szCs w:val="22"/>
        </w:rPr>
        <w:t>)</w:t>
      </w:r>
    </w:p>
    <w:tbl>
      <w:tblPr>
        <w:tblW w:w="752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6"/>
        <w:gridCol w:w="2507"/>
        <w:gridCol w:w="2507"/>
      </w:tblGrid>
      <w:tr w:rsidR="00EB7A70" w:rsidRPr="0027213C" w14:paraId="065C36D6" w14:textId="77777777" w:rsidTr="007D1DF9">
        <w:trPr>
          <w:trHeight w:val="274"/>
        </w:trPr>
        <w:tc>
          <w:tcPr>
            <w:tcW w:w="2506" w:type="dxa"/>
          </w:tcPr>
          <w:p w14:paraId="7F3FD672" w14:textId="77777777" w:rsidR="00EB7A70" w:rsidRPr="0027213C" w:rsidRDefault="00EB7A70" w:rsidP="007D1DF9">
            <w:pPr>
              <w:pStyle w:val="BodyText"/>
              <w:spacing w:before="0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507" w:type="dxa"/>
          </w:tcPr>
          <w:p w14:paraId="4F12BE43" w14:textId="77777777" w:rsidR="00EB7A70" w:rsidRPr="0027213C" w:rsidRDefault="00EB7A70" w:rsidP="007D1DF9">
            <w:pPr>
              <w:pStyle w:val="BodyText"/>
              <w:spacing w:before="0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507" w:type="dxa"/>
          </w:tcPr>
          <w:p w14:paraId="1D19EB15" w14:textId="77777777" w:rsidR="00EB7A70" w:rsidRPr="0027213C" w:rsidRDefault="00EB7A70" w:rsidP="007D1DF9">
            <w:pPr>
              <w:pStyle w:val="BodyText"/>
              <w:spacing w:before="0"/>
              <w:rPr>
                <w:rFonts w:eastAsia="Calibri"/>
                <w:sz w:val="22"/>
                <w:szCs w:val="22"/>
              </w:rPr>
            </w:pPr>
          </w:p>
        </w:tc>
      </w:tr>
      <w:tr w:rsidR="00EB7A70" w:rsidRPr="0027213C" w14:paraId="1462AC8C" w14:textId="77777777" w:rsidTr="007D1DF9">
        <w:trPr>
          <w:trHeight w:val="274"/>
        </w:trPr>
        <w:tc>
          <w:tcPr>
            <w:tcW w:w="2506" w:type="dxa"/>
          </w:tcPr>
          <w:p w14:paraId="1AB057AE" w14:textId="77777777" w:rsidR="00EB7A70" w:rsidRPr="0027213C" w:rsidRDefault="00EB7A70" w:rsidP="007D1DF9">
            <w:pPr>
              <w:pStyle w:val="BodyText"/>
              <w:spacing w:before="0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507" w:type="dxa"/>
          </w:tcPr>
          <w:p w14:paraId="7A2080EE" w14:textId="77777777" w:rsidR="00EB7A70" w:rsidRPr="0027213C" w:rsidRDefault="00EB7A70" w:rsidP="007D1DF9">
            <w:pPr>
              <w:pStyle w:val="BodyText"/>
              <w:spacing w:before="0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507" w:type="dxa"/>
          </w:tcPr>
          <w:p w14:paraId="4BFF18AE" w14:textId="77777777" w:rsidR="00EB7A70" w:rsidRPr="0027213C" w:rsidRDefault="00EB7A70" w:rsidP="007D1DF9">
            <w:pPr>
              <w:pStyle w:val="BodyText"/>
              <w:spacing w:before="0"/>
              <w:rPr>
                <w:rFonts w:eastAsia="Calibri"/>
                <w:sz w:val="22"/>
                <w:szCs w:val="22"/>
              </w:rPr>
            </w:pPr>
          </w:p>
        </w:tc>
      </w:tr>
      <w:tr w:rsidR="00EB7A70" w:rsidRPr="0027213C" w14:paraId="6C396A35" w14:textId="77777777" w:rsidTr="007D1DF9">
        <w:trPr>
          <w:trHeight w:val="294"/>
        </w:trPr>
        <w:tc>
          <w:tcPr>
            <w:tcW w:w="2506" w:type="dxa"/>
          </w:tcPr>
          <w:p w14:paraId="28822877" w14:textId="77777777" w:rsidR="00EB7A70" w:rsidRPr="0027213C" w:rsidRDefault="00EB7A70" w:rsidP="007D1DF9">
            <w:pPr>
              <w:pStyle w:val="BodyText"/>
              <w:spacing w:before="0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507" w:type="dxa"/>
          </w:tcPr>
          <w:p w14:paraId="24571A26" w14:textId="77777777" w:rsidR="00EB7A70" w:rsidRPr="0027213C" w:rsidRDefault="00EB7A70" w:rsidP="007D1DF9">
            <w:pPr>
              <w:pStyle w:val="BodyText"/>
              <w:spacing w:before="0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507" w:type="dxa"/>
          </w:tcPr>
          <w:p w14:paraId="3C92F122" w14:textId="77777777" w:rsidR="00EB7A70" w:rsidRPr="0027213C" w:rsidRDefault="00EB7A70" w:rsidP="007D1DF9">
            <w:pPr>
              <w:pStyle w:val="BodyText"/>
              <w:spacing w:before="0"/>
              <w:rPr>
                <w:rFonts w:eastAsia="Calibri"/>
                <w:sz w:val="22"/>
                <w:szCs w:val="22"/>
              </w:rPr>
            </w:pPr>
          </w:p>
        </w:tc>
      </w:tr>
    </w:tbl>
    <w:p w14:paraId="71AC70AE" w14:textId="77777777" w:rsidR="00EB7A70" w:rsidRDefault="00EB7A70" w:rsidP="00EB7A70">
      <w:pPr>
        <w:pStyle w:val="BodyText"/>
        <w:spacing w:before="0"/>
        <w:jc w:val="center"/>
      </w:pPr>
    </w:p>
    <w:p w14:paraId="7F6BC61B" w14:textId="77777777" w:rsidR="00EB7A70" w:rsidRPr="004809C8" w:rsidRDefault="00EB7A70" w:rsidP="00EB7A70">
      <w:pPr>
        <w:pStyle w:val="Affiliation"/>
        <w:spacing w:after="0" w:line="240" w:lineRule="auto"/>
        <w:rPr>
          <w:color w:val="0070C0"/>
          <w:sz w:val="24"/>
          <w:szCs w:val="24"/>
          <w:lang w:val="en-GB"/>
        </w:rPr>
      </w:pPr>
      <w:r w:rsidRPr="004809C8">
        <w:rPr>
          <w:color w:val="0070C0"/>
          <w:sz w:val="24"/>
          <w:szCs w:val="24"/>
          <w:lang w:val="en-GB"/>
        </w:rPr>
        <w:t>&lt;1 line spacing after table&gt;</w:t>
      </w:r>
    </w:p>
    <w:p w14:paraId="649C0699" w14:textId="77777777" w:rsidR="00EB7A70" w:rsidRPr="0027213C" w:rsidRDefault="00EB7A70" w:rsidP="00EB7A70">
      <w:pPr>
        <w:pStyle w:val="BodyText"/>
        <w:spacing w:before="0"/>
        <w:jc w:val="center"/>
      </w:pPr>
    </w:p>
    <w:p w14:paraId="50B6011C" w14:textId="77777777" w:rsidR="00EB7A70" w:rsidRPr="004809C8" w:rsidRDefault="00EB7A70" w:rsidP="00EB7A70">
      <w:pPr>
        <w:pStyle w:val="Affiliation"/>
        <w:spacing w:after="0" w:line="240" w:lineRule="auto"/>
        <w:rPr>
          <w:color w:val="0070C0"/>
          <w:sz w:val="24"/>
          <w:szCs w:val="24"/>
          <w:lang w:val="en-GB"/>
        </w:rPr>
      </w:pPr>
      <w:r w:rsidRPr="004809C8">
        <w:rPr>
          <w:color w:val="0070C0"/>
          <w:sz w:val="24"/>
          <w:szCs w:val="24"/>
          <w:lang w:val="en-GB"/>
        </w:rPr>
        <w:t>&lt;1 line spacing before figure&gt;</w:t>
      </w:r>
    </w:p>
    <w:tbl>
      <w:tblPr>
        <w:tblW w:w="752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20"/>
      </w:tblGrid>
      <w:tr w:rsidR="00EB7A70" w:rsidRPr="0027213C" w14:paraId="755F819C" w14:textId="77777777" w:rsidTr="007D1DF9">
        <w:trPr>
          <w:trHeight w:val="274"/>
        </w:trPr>
        <w:tc>
          <w:tcPr>
            <w:tcW w:w="7520" w:type="dxa"/>
          </w:tcPr>
          <w:p w14:paraId="71556DBB" w14:textId="77777777" w:rsidR="00EB7A70" w:rsidRPr="0027213C" w:rsidRDefault="00EB7A70" w:rsidP="007D1DF9">
            <w:pPr>
              <w:pStyle w:val="BodyText"/>
              <w:spacing w:before="0"/>
              <w:rPr>
                <w:rFonts w:eastAsia="Calibri"/>
                <w:sz w:val="22"/>
                <w:szCs w:val="22"/>
              </w:rPr>
            </w:pPr>
          </w:p>
        </w:tc>
      </w:tr>
    </w:tbl>
    <w:p w14:paraId="6BFC466A" w14:textId="77777777" w:rsidR="00EB7A70" w:rsidRPr="0027213C" w:rsidRDefault="00EB7A70" w:rsidP="00EB7A70">
      <w:pPr>
        <w:pStyle w:val="BodyText"/>
        <w:spacing w:before="0"/>
        <w:jc w:val="center"/>
        <w:rPr>
          <w:sz w:val="22"/>
          <w:szCs w:val="22"/>
        </w:rPr>
      </w:pPr>
      <w:r w:rsidRPr="0027213C">
        <w:rPr>
          <w:i/>
          <w:iCs/>
          <w:sz w:val="22"/>
          <w:szCs w:val="22"/>
        </w:rPr>
        <w:t xml:space="preserve">Figure 1 – Caption (Times New Roman, Italic, 11 </w:t>
      </w:r>
      <w:proofErr w:type="spellStart"/>
      <w:r w:rsidRPr="0027213C">
        <w:rPr>
          <w:i/>
          <w:iCs/>
          <w:sz w:val="22"/>
          <w:szCs w:val="22"/>
        </w:rPr>
        <w:t>pt</w:t>
      </w:r>
      <w:proofErr w:type="spellEnd"/>
      <w:r w:rsidRPr="0027213C">
        <w:rPr>
          <w:i/>
          <w:iCs/>
          <w:sz w:val="22"/>
          <w:szCs w:val="22"/>
        </w:rPr>
        <w:t xml:space="preserve">, </w:t>
      </w:r>
      <w:proofErr w:type="spellStart"/>
      <w:r w:rsidRPr="0027213C">
        <w:rPr>
          <w:i/>
          <w:iCs/>
          <w:sz w:val="22"/>
          <w:szCs w:val="22"/>
        </w:rPr>
        <w:t>centered</w:t>
      </w:r>
      <w:proofErr w:type="spellEnd"/>
      <w:r w:rsidRPr="0027213C">
        <w:rPr>
          <w:i/>
          <w:iCs/>
          <w:sz w:val="22"/>
          <w:szCs w:val="22"/>
        </w:rPr>
        <w:t>)</w:t>
      </w:r>
    </w:p>
    <w:p w14:paraId="48263D61" w14:textId="77777777" w:rsidR="00EB7A70" w:rsidRPr="0027213C" w:rsidRDefault="00EB7A70" w:rsidP="00EB7A70">
      <w:pPr>
        <w:pStyle w:val="BodyText"/>
        <w:spacing w:before="0"/>
        <w:jc w:val="center"/>
      </w:pPr>
    </w:p>
    <w:p w14:paraId="7E0D893A" w14:textId="77777777" w:rsidR="00EB7A70" w:rsidRPr="004809C8" w:rsidRDefault="00EB7A70" w:rsidP="00EB7A70">
      <w:pPr>
        <w:pStyle w:val="Affiliation"/>
        <w:spacing w:after="0" w:line="240" w:lineRule="auto"/>
        <w:rPr>
          <w:color w:val="0070C0"/>
          <w:sz w:val="24"/>
          <w:szCs w:val="24"/>
          <w:lang w:val="en-GB"/>
        </w:rPr>
      </w:pPr>
      <w:r w:rsidRPr="004809C8">
        <w:rPr>
          <w:color w:val="0070C0"/>
          <w:sz w:val="24"/>
          <w:szCs w:val="24"/>
          <w:lang w:val="en-GB"/>
        </w:rPr>
        <w:t>&lt;1 line spacing after figure&gt;</w:t>
      </w:r>
    </w:p>
    <w:p w14:paraId="685671DA" w14:textId="77777777" w:rsidR="00EB7A70" w:rsidRDefault="00EB7A70" w:rsidP="00EB7A70">
      <w:pPr>
        <w:pStyle w:val="Affiliation"/>
        <w:spacing w:after="0" w:line="240" w:lineRule="auto"/>
        <w:jc w:val="left"/>
        <w:rPr>
          <w:sz w:val="24"/>
          <w:szCs w:val="24"/>
          <w:lang w:val="en-GB"/>
        </w:rPr>
      </w:pPr>
      <w:r w:rsidRPr="0027213C">
        <w:rPr>
          <w:sz w:val="24"/>
          <w:szCs w:val="24"/>
          <w:lang w:val="en-GB"/>
        </w:rPr>
        <w:t xml:space="preserve">This is an example of main </w:t>
      </w:r>
      <w:proofErr w:type="gramStart"/>
      <w:r w:rsidRPr="0027213C">
        <w:rPr>
          <w:sz w:val="24"/>
          <w:szCs w:val="24"/>
          <w:lang w:val="en-GB"/>
        </w:rPr>
        <w:t>text, and</w:t>
      </w:r>
      <w:proofErr w:type="gramEnd"/>
      <w:r w:rsidRPr="0027213C">
        <w:rPr>
          <w:sz w:val="24"/>
          <w:szCs w:val="24"/>
          <w:lang w:val="en-GB"/>
        </w:rPr>
        <w:t xml:space="preserve"> is the last line of th</w:t>
      </w:r>
      <w:r>
        <w:rPr>
          <w:sz w:val="24"/>
          <w:szCs w:val="24"/>
          <w:lang w:val="en-GB"/>
        </w:rPr>
        <w:t>is</w:t>
      </w:r>
      <w:r w:rsidRPr="0027213C">
        <w:rPr>
          <w:sz w:val="24"/>
          <w:szCs w:val="24"/>
          <w:lang w:val="en-GB"/>
        </w:rPr>
        <w:t xml:space="preserve"> section.</w:t>
      </w:r>
    </w:p>
    <w:p w14:paraId="575A94BB" w14:textId="77777777" w:rsidR="00EB7A70" w:rsidRPr="0027213C" w:rsidRDefault="00EB7A70" w:rsidP="00EB7A70">
      <w:pPr>
        <w:pStyle w:val="Affiliation"/>
        <w:spacing w:after="0" w:line="240" w:lineRule="auto"/>
        <w:jc w:val="left"/>
        <w:rPr>
          <w:sz w:val="24"/>
          <w:szCs w:val="24"/>
          <w:lang w:val="en-GB"/>
        </w:rPr>
      </w:pPr>
    </w:p>
    <w:p w14:paraId="4908B049" w14:textId="77777777" w:rsidR="00EB7A70" w:rsidRPr="0027213C" w:rsidRDefault="00EB7A70" w:rsidP="00EB7A70">
      <w:pPr>
        <w:pStyle w:val="BodyText"/>
        <w:spacing w:before="0"/>
        <w:rPr>
          <w:color w:val="0070C0"/>
        </w:rPr>
      </w:pPr>
      <w:r w:rsidRPr="0027213C">
        <w:rPr>
          <w:color w:val="0070C0"/>
        </w:rPr>
        <w:t>&lt;1 line spacing&gt;</w:t>
      </w:r>
    </w:p>
    <w:p w14:paraId="6D5FBF00" w14:textId="77777777" w:rsidR="00EB7A70" w:rsidRPr="0027213C" w:rsidRDefault="00EB7A70" w:rsidP="00EB7A70">
      <w:pPr>
        <w:pStyle w:val="BodyText"/>
        <w:spacing w:before="0"/>
        <w:rPr>
          <w:b/>
          <w:bCs/>
        </w:rPr>
      </w:pPr>
      <w:r w:rsidRPr="0027213C">
        <w:rPr>
          <w:b/>
          <w:bCs/>
        </w:rPr>
        <w:t>Conclusion</w:t>
      </w:r>
    </w:p>
    <w:p w14:paraId="0D2F6514" w14:textId="77777777" w:rsidR="00EB7A70" w:rsidRPr="0027213C" w:rsidRDefault="00EB7A70" w:rsidP="00EB7A70">
      <w:pPr>
        <w:pStyle w:val="BodyText"/>
        <w:spacing w:before="0"/>
      </w:pPr>
      <w:r w:rsidRPr="0027213C">
        <w:t xml:space="preserve">The above </w:t>
      </w:r>
      <w:r>
        <w:t>text summarizes and descriptively demonstrates</w:t>
      </w:r>
      <w:r w:rsidRPr="0027213C">
        <w:t xml:space="preserve"> the main instructions for writing </w:t>
      </w:r>
      <w:r>
        <w:t xml:space="preserve">and preparing </w:t>
      </w:r>
      <w:r w:rsidRPr="0027213C">
        <w:t xml:space="preserve">the </w:t>
      </w:r>
      <w:r>
        <w:t>full assignment</w:t>
      </w:r>
      <w:r w:rsidRPr="0027213C">
        <w:t xml:space="preserve">. All </w:t>
      </w:r>
      <w:r>
        <w:t xml:space="preserve">that </w:t>
      </w:r>
      <w:r w:rsidRPr="0027213C">
        <w:t>is missing now are</w:t>
      </w:r>
      <w:r>
        <w:t xml:space="preserve"> guidelines re</w:t>
      </w:r>
      <w:r w:rsidRPr="0027213C">
        <w:t>garding references.</w:t>
      </w:r>
    </w:p>
    <w:p w14:paraId="6E457054" w14:textId="77777777" w:rsidR="00EB7A70" w:rsidRDefault="00EB7A70" w:rsidP="00EB7A70">
      <w:pPr>
        <w:pStyle w:val="BodyText"/>
        <w:spacing w:before="0"/>
        <w:ind w:firstLine="284"/>
      </w:pPr>
      <w:r w:rsidRPr="0027213C">
        <w:t xml:space="preserve">References to other publications should be in Harvard style, </w:t>
      </w:r>
      <w:r w:rsidRPr="0027213C">
        <w:rPr>
          <w:sz w:val="20"/>
          <w:szCs w:val="20"/>
        </w:rPr>
        <w:t xml:space="preserve">Times New Roman, 10 </w:t>
      </w:r>
      <w:proofErr w:type="spellStart"/>
      <w:r w:rsidRPr="0027213C">
        <w:rPr>
          <w:sz w:val="20"/>
          <w:szCs w:val="20"/>
        </w:rPr>
        <w:t>pt</w:t>
      </w:r>
      <w:proofErr w:type="spellEnd"/>
      <w:r w:rsidRPr="0027213C">
        <w:rPr>
          <w:sz w:val="20"/>
          <w:szCs w:val="20"/>
        </w:rPr>
        <w:t>, left aligned, hanging indent 0.5 cm</w:t>
      </w:r>
      <w:r w:rsidRPr="0027213C">
        <w:t xml:space="preserve">. They should contain full bibliographical details. Journal titles should not be abbreviated. References should be presented as follows. Within the text: Author’s last name followed by a comma and the year of publication, all in round </w:t>
      </w:r>
      <w:proofErr w:type="gramStart"/>
      <w:r w:rsidRPr="0027213C">
        <w:t>brackets;</w:t>
      </w:r>
      <w:proofErr w:type="gramEnd"/>
      <w:r w:rsidRPr="0027213C">
        <w:t xml:space="preserve"> e.g., (Fox, 1994). When the number of authors is three or more, references in the text should </w:t>
      </w:r>
      <w:r>
        <w:t>follow this example</w:t>
      </w:r>
      <w:r w:rsidRPr="0027213C">
        <w:t xml:space="preserve"> (Fox et al., 1995). </w:t>
      </w:r>
    </w:p>
    <w:p w14:paraId="78F32BF7" w14:textId="77777777" w:rsidR="00EB7A70" w:rsidRPr="008B78DB" w:rsidRDefault="00EB7A70" w:rsidP="00EB7A70">
      <w:pPr>
        <w:pStyle w:val="BodyText"/>
        <w:spacing w:before="0"/>
        <w:ind w:firstLine="284"/>
        <w:rPr>
          <w:u w:val="single"/>
        </w:rPr>
      </w:pPr>
      <w:r w:rsidRPr="0027213C">
        <w:t xml:space="preserve">At the end of the </w:t>
      </w:r>
      <w:r>
        <w:t>assignment</w:t>
      </w:r>
      <w:r w:rsidRPr="0027213C">
        <w:t>, list all references in alphabetical order</w:t>
      </w:r>
      <w:r>
        <w:t>, using the formats described below</w:t>
      </w:r>
      <w:r w:rsidRPr="0027213C">
        <w:t xml:space="preserve">. </w:t>
      </w:r>
      <w:r>
        <w:t>A</w:t>
      </w:r>
      <w:r w:rsidRPr="0027213C">
        <w:t xml:space="preserve">ll authors should be included </w:t>
      </w:r>
      <w:r>
        <w:t>i</w:t>
      </w:r>
      <w:r w:rsidRPr="0027213C">
        <w:t>n the reference list.</w:t>
      </w:r>
      <w:r>
        <w:t xml:space="preserve"> </w:t>
      </w:r>
    </w:p>
    <w:p w14:paraId="23EAA0D6" w14:textId="77777777" w:rsidR="00EB7A70" w:rsidRPr="0027213C" w:rsidRDefault="00EB7A70" w:rsidP="00EB7A70">
      <w:pPr>
        <w:pStyle w:val="BodyText"/>
        <w:spacing w:before="0"/>
      </w:pPr>
    </w:p>
    <w:p w14:paraId="7B290030" w14:textId="77777777" w:rsidR="00EB7A70" w:rsidRPr="0027213C" w:rsidRDefault="00EB7A70" w:rsidP="00EB7A70">
      <w:pPr>
        <w:pStyle w:val="BodyText"/>
        <w:spacing w:before="0"/>
        <w:rPr>
          <w:b/>
          <w:bCs/>
        </w:rPr>
      </w:pPr>
      <w:r w:rsidRPr="0027213C">
        <w:rPr>
          <w:b/>
          <w:bCs/>
        </w:rPr>
        <w:t>References</w:t>
      </w:r>
    </w:p>
    <w:p w14:paraId="6EF93875" w14:textId="77777777" w:rsidR="00EB7A70" w:rsidRPr="0027213C" w:rsidRDefault="00EB7A70" w:rsidP="00EB7A70">
      <w:pPr>
        <w:pStyle w:val="BodyText"/>
        <w:spacing w:before="0"/>
        <w:rPr>
          <w:sz w:val="20"/>
          <w:szCs w:val="20"/>
        </w:rPr>
      </w:pPr>
      <w:r w:rsidRPr="0027213C">
        <w:rPr>
          <w:sz w:val="20"/>
          <w:szCs w:val="20"/>
        </w:rPr>
        <w:t xml:space="preserve">For books: Surname, Initials (Year of Publication), </w:t>
      </w:r>
      <w:r w:rsidRPr="0027213C">
        <w:rPr>
          <w:i/>
          <w:iCs/>
          <w:sz w:val="20"/>
          <w:szCs w:val="20"/>
        </w:rPr>
        <w:t>Title</w:t>
      </w:r>
      <w:r w:rsidRPr="0027213C">
        <w:rPr>
          <w:sz w:val="20"/>
          <w:szCs w:val="20"/>
        </w:rPr>
        <w:t>, Publisher, Place of Publication.</w:t>
      </w:r>
    </w:p>
    <w:p w14:paraId="69F7C6A1" w14:textId="77777777" w:rsidR="00EB7A70" w:rsidRPr="0027213C" w:rsidRDefault="00EB7A70" w:rsidP="00EB7A70">
      <w:pPr>
        <w:pStyle w:val="BodyText"/>
        <w:spacing w:before="0"/>
        <w:ind w:left="284" w:hanging="284"/>
        <w:rPr>
          <w:sz w:val="20"/>
          <w:szCs w:val="20"/>
        </w:rPr>
      </w:pPr>
      <w:r w:rsidRPr="0027213C">
        <w:rPr>
          <w:sz w:val="20"/>
          <w:szCs w:val="20"/>
        </w:rPr>
        <w:t xml:space="preserve">Casson, M. (1979), </w:t>
      </w:r>
      <w:r w:rsidRPr="0027213C">
        <w:rPr>
          <w:i/>
          <w:iCs/>
          <w:sz w:val="20"/>
          <w:szCs w:val="20"/>
        </w:rPr>
        <w:t>Alternatives to the Multinational Enterprise</w:t>
      </w:r>
      <w:r w:rsidRPr="0027213C">
        <w:rPr>
          <w:sz w:val="20"/>
          <w:szCs w:val="20"/>
        </w:rPr>
        <w:t xml:space="preserve">, Macmillan, London. (Times New Roman, 10 </w:t>
      </w:r>
      <w:proofErr w:type="spellStart"/>
      <w:r w:rsidRPr="0027213C">
        <w:rPr>
          <w:sz w:val="20"/>
          <w:szCs w:val="20"/>
        </w:rPr>
        <w:t>pt</w:t>
      </w:r>
      <w:proofErr w:type="spellEnd"/>
      <w:r w:rsidRPr="0027213C">
        <w:rPr>
          <w:sz w:val="20"/>
          <w:szCs w:val="20"/>
        </w:rPr>
        <w:t>, left aligned, hanging indent 0.5 cm).</w:t>
      </w:r>
    </w:p>
    <w:p w14:paraId="618BFE81" w14:textId="77777777" w:rsidR="00EB7A70" w:rsidRPr="0027213C" w:rsidRDefault="00EB7A70" w:rsidP="00EB7A70">
      <w:pPr>
        <w:pStyle w:val="BodyText"/>
        <w:spacing w:before="0"/>
        <w:ind w:left="284" w:hanging="284"/>
        <w:rPr>
          <w:sz w:val="20"/>
          <w:szCs w:val="20"/>
        </w:rPr>
      </w:pPr>
      <w:r w:rsidRPr="0027213C">
        <w:rPr>
          <w:sz w:val="20"/>
          <w:szCs w:val="20"/>
        </w:rPr>
        <w:t xml:space="preserve">For chapters in edited books: Surname, Initials (Year), “Title”, in Editor’s Name, Initials (Ed.), </w:t>
      </w:r>
      <w:r w:rsidRPr="0027213C">
        <w:rPr>
          <w:i/>
          <w:iCs/>
          <w:sz w:val="20"/>
          <w:szCs w:val="20"/>
        </w:rPr>
        <w:t>Title</w:t>
      </w:r>
      <w:r w:rsidRPr="0027213C">
        <w:rPr>
          <w:sz w:val="20"/>
          <w:szCs w:val="20"/>
        </w:rPr>
        <w:t>, Publisher, Place, Pages.</w:t>
      </w:r>
    </w:p>
    <w:p w14:paraId="52AF89E8" w14:textId="77777777" w:rsidR="00EB7A70" w:rsidRPr="0027213C" w:rsidRDefault="00EB7A70" w:rsidP="00EB7A70">
      <w:pPr>
        <w:pStyle w:val="BodyText"/>
        <w:spacing w:before="0"/>
        <w:ind w:left="284" w:hanging="284"/>
        <w:rPr>
          <w:i/>
          <w:iCs/>
          <w:sz w:val="20"/>
          <w:szCs w:val="20"/>
        </w:rPr>
      </w:pPr>
      <w:proofErr w:type="spellStart"/>
      <w:r w:rsidRPr="0027213C">
        <w:rPr>
          <w:sz w:val="20"/>
          <w:szCs w:val="20"/>
        </w:rPr>
        <w:t>Bessley</w:t>
      </w:r>
      <w:proofErr w:type="spellEnd"/>
      <w:r w:rsidRPr="0027213C">
        <w:rPr>
          <w:sz w:val="20"/>
          <w:szCs w:val="20"/>
        </w:rPr>
        <w:t xml:space="preserve">, M. and Wilson, P. (1984), “Public policy and small firms in Britain,” in </w:t>
      </w:r>
      <w:proofErr w:type="spellStart"/>
      <w:r w:rsidRPr="0027213C">
        <w:rPr>
          <w:sz w:val="20"/>
          <w:szCs w:val="20"/>
        </w:rPr>
        <w:t>Levicki</w:t>
      </w:r>
      <w:proofErr w:type="spellEnd"/>
      <w:r w:rsidRPr="0027213C">
        <w:rPr>
          <w:sz w:val="20"/>
          <w:szCs w:val="20"/>
        </w:rPr>
        <w:t xml:space="preserve">, C. (Ed.), </w:t>
      </w:r>
      <w:r w:rsidRPr="0027213C">
        <w:rPr>
          <w:i/>
          <w:iCs/>
          <w:sz w:val="20"/>
          <w:szCs w:val="20"/>
        </w:rPr>
        <w:t>Small Business Theory and Policy</w:t>
      </w:r>
      <w:r w:rsidRPr="0027213C">
        <w:rPr>
          <w:sz w:val="20"/>
          <w:szCs w:val="20"/>
        </w:rPr>
        <w:t>, Croom Helm, London, pp. 111-126.</w:t>
      </w:r>
    </w:p>
    <w:p w14:paraId="334A6A77" w14:textId="77777777" w:rsidR="00EB7A70" w:rsidRPr="0027213C" w:rsidRDefault="00EB7A70" w:rsidP="00EB7A70">
      <w:pPr>
        <w:pStyle w:val="BodyText"/>
        <w:spacing w:before="0"/>
        <w:rPr>
          <w:sz w:val="20"/>
          <w:szCs w:val="20"/>
        </w:rPr>
      </w:pPr>
      <w:r w:rsidRPr="0027213C">
        <w:rPr>
          <w:sz w:val="20"/>
          <w:szCs w:val="20"/>
        </w:rPr>
        <w:t xml:space="preserve">For articles: Surname, Initials (Year), “Title”, </w:t>
      </w:r>
      <w:r w:rsidRPr="0027213C">
        <w:rPr>
          <w:i/>
          <w:iCs/>
          <w:sz w:val="20"/>
          <w:szCs w:val="20"/>
        </w:rPr>
        <w:t>Journal Name</w:t>
      </w:r>
      <w:r w:rsidRPr="0027213C">
        <w:rPr>
          <w:sz w:val="20"/>
          <w:szCs w:val="20"/>
        </w:rPr>
        <w:t>, Volume, Number, Pages.</w:t>
      </w:r>
    </w:p>
    <w:p w14:paraId="48E32142" w14:textId="77777777" w:rsidR="00EB7A70" w:rsidRPr="0027213C" w:rsidRDefault="00EB7A70" w:rsidP="00EB7A70">
      <w:pPr>
        <w:pStyle w:val="BodyText"/>
        <w:spacing w:before="0"/>
        <w:ind w:left="284" w:hanging="284"/>
        <w:rPr>
          <w:i/>
          <w:iCs/>
          <w:sz w:val="20"/>
          <w:szCs w:val="20"/>
        </w:rPr>
      </w:pPr>
      <w:r w:rsidRPr="0027213C">
        <w:rPr>
          <w:sz w:val="20"/>
          <w:szCs w:val="20"/>
        </w:rPr>
        <w:t xml:space="preserve">Fox, S. (1994), “Empowerment as a catalyst for change: </w:t>
      </w:r>
      <w:proofErr w:type="spellStart"/>
      <w:r w:rsidRPr="0027213C">
        <w:rPr>
          <w:sz w:val="20"/>
          <w:szCs w:val="20"/>
        </w:rPr>
        <w:t>and</w:t>
      </w:r>
      <w:proofErr w:type="spellEnd"/>
      <w:r w:rsidRPr="0027213C">
        <w:rPr>
          <w:sz w:val="20"/>
          <w:szCs w:val="20"/>
        </w:rPr>
        <w:t xml:space="preserve"> example from the food industry”, </w:t>
      </w:r>
      <w:r w:rsidRPr="0027213C">
        <w:rPr>
          <w:i/>
          <w:iCs/>
          <w:sz w:val="20"/>
          <w:szCs w:val="20"/>
        </w:rPr>
        <w:t>Supply Chain Management</w:t>
      </w:r>
      <w:r w:rsidRPr="0027213C">
        <w:rPr>
          <w:sz w:val="20"/>
          <w:szCs w:val="20"/>
        </w:rPr>
        <w:t>, Vol. 2, No. 3, pp. 29-33.</w:t>
      </w:r>
    </w:p>
    <w:p w14:paraId="4C7FCC80" w14:textId="77777777" w:rsidR="00EB7A70" w:rsidRPr="0027213C" w:rsidRDefault="00EB7A70" w:rsidP="00EB7A70">
      <w:pPr>
        <w:pStyle w:val="BodyText"/>
        <w:spacing w:before="0"/>
        <w:ind w:left="284" w:hanging="284"/>
        <w:rPr>
          <w:sz w:val="20"/>
          <w:szCs w:val="20"/>
        </w:rPr>
      </w:pPr>
      <w:r w:rsidRPr="0027213C">
        <w:rPr>
          <w:sz w:val="20"/>
          <w:szCs w:val="20"/>
        </w:rPr>
        <w:t>Electronic sources should include the URL of the web site at which they may be found along with the date of latest access.</w:t>
      </w:r>
    </w:p>
    <w:p w14:paraId="5DD51713" w14:textId="77777777" w:rsidR="00EB7A70" w:rsidRPr="0027213C" w:rsidRDefault="00EB7A70" w:rsidP="00EB7A70">
      <w:pPr>
        <w:ind w:left="284" w:hanging="284"/>
        <w:rPr>
          <w:sz w:val="20"/>
          <w:szCs w:val="20"/>
        </w:rPr>
      </w:pPr>
    </w:p>
    <w:p w14:paraId="7DCEA667" w14:textId="77777777" w:rsidR="00301A30" w:rsidRPr="00EB7A70" w:rsidRDefault="00301A30" w:rsidP="00301A30">
      <w:pPr>
        <w:jc w:val="both"/>
        <w:rPr>
          <w:rFonts w:ascii="Times New Roman" w:hAnsi="Times New Roman" w:cs="Times New Roman"/>
        </w:rPr>
      </w:pPr>
    </w:p>
    <w:p w14:paraId="6E8E1E6E" w14:textId="15965D98" w:rsidR="005D1ECE" w:rsidRDefault="005D1EC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53AA5B1" w14:textId="0772ED9D" w:rsidR="005D1ECE" w:rsidRDefault="005D1ECE" w:rsidP="005D1E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APPENDIX II – </w:t>
      </w:r>
      <w:r w:rsidR="009F33E2">
        <w:rPr>
          <w:rFonts w:ascii="Times New Roman" w:hAnsi="Times New Roman" w:cs="Times New Roman"/>
          <w:lang w:val="en-US"/>
        </w:rPr>
        <w:t xml:space="preserve">VARIABLE DEFINITIONS FOR </w:t>
      </w:r>
      <w:r w:rsidR="00853650">
        <w:rPr>
          <w:rFonts w:ascii="Times New Roman" w:hAnsi="Times New Roman" w:cs="Times New Roman"/>
          <w:lang w:val="en-US"/>
        </w:rPr>
        <w:t>SAMPLE 1</w:t>
      </w:r>
    </w:p>
    <w:p w14:paraId="68755CD1" w14:textId="77777777" w:rsidR="00853650" w:rsidRDefault="00853650" w:rsidP="00853650">
      <w:pPr>
        <w:jc w:val="both"/>
        <w:rPr>
          <w:rFonts w:ascii="Times New Roman" w:hAnsi="Times New Roman" w:cs="Times New Roman"/>
          <w:b/>
          <w:bCs/>
        </w:rPr>
      </w:pPr>
    </w:p>
    <w:p w14:paraId="605FCD5C" w14:textId="031F726C" w:rsidR="00853650" w:rsidRPr="00853650" w:rsidRDefault="00853650" w:rsidP="00853650">
      <w:pPr>
        <w:jc w:val="both"/>
        <w:rPr>
          <w:rFonts w:ascii="Times New Roman" w:hAnsi="Times New Roman" w:cs="Times New Roman"/>
          <w:b/>
          <w:bCs/>
        </w:rPr>
      </w:pPr>
      <w:r w:rsidRPr="00853650">
        <w:rPr>
          <w:rFonts w:ascii="Times New Roman" w:hAnsi="Times New Roman" w:cs="Times New Roman"/>
          <w:b/>
          <w:bCs/>
        </w:rPr>
        <w:t>Ticker (TICKER)</w:t>
      </w:r>
    </w:p>
    <w:p w14:paraId="42C30E47" w14:textId="7C0CF282" w:rsidR="00853650" w:rsidRPr="00853650" w:rsidRDefault="00853650" w:rsidP="00853650">
      <w:pPr>
        <w:jc w:val="both"/>
        <w:rPr>
          <w:rFonts w:ascii="Times New Roman" w:hAnsi="Times New Roman" w:cs="Times New Roman"/>
        </w:rPr>
      </w:pPr>
      <w:r w:rsidRPr="00853650">
        <w:rPr>
          <w:rFonts w:ascii="Times New Roman" w:hAnsi="Times New Roman" w:cs="Times New Roman"/>
        </w:rPr>
        <w:t>Ticker is a specific identifier for a financial instrument that reflects common usage. Tickers are not, however, unique to specific exchanges or specific pricing sources. Tickers may change in conjunction with Corporate Actions.</w:t>
      </w:r>
    </w:p>
    <w:p w14:paraId="500784B8" w14:textId="77777777" w:rsidR="00853650" w:rsidRPr="00853650" w:rsidRDefault="00853650" w:rsidP="00853650">
      <w:pPr>
        <w:jc w:val="both"/>
        <w:rPr>
          <w:rFonts w:ascii="Times New Roman" w:hAnsi="Times New Roman" w:cs="Times New Roman"/>
          <w:b/>
          <w:bCs/>
        </w:rPr>
      </w:pPr>
      <w:r w:rsidRPr="00853650">
        <w:rPr>
          <w:rFonts w:ascii="Times New Roman" w:hAnsi="Times New Roman" w:cs="Times New Roman"/>
          <w:b/>
          <w:bCs/>
        </w:rPr>
        <w:t>ISIN Number (ID_ISIN)</w:t>
      </w:r>
    </w:p>
    <w:p w14:paraId="5AE7C0D3" w14:textId="17C066A1" w:rsidR="00853650" w:rsidRPr="00853650" w:rsidRDefault="00853650" w:rsidP="00853650">
      <w:pPr>
        <w:jc w:val="both"/>
        <w:rPr>
          <w:rFonts w:ascii="Times New Roman" w:hAnsi="Times New Roman" w:cs="Times New Roman"/>
        </w:rPr>
      </w:pPr>
      <w:r w:rsidRPr="00853650">
        <w:rPr>
          <w:rFonts w:ascii="Times New Roman" w:hAnsi="Times New Roman" w:cs="Times New Roman"/>
        </w:rPr>
        <w:t>A twelve-character number assigned by the local national numbering agency. The International Securities Identification Number (ISIN) consists of a two-letter country code, followed by the nine-character alphanumerical national security identifier, and a check digit.</w:t>
      </w:r>
    </w:p>
    <w:p w14:paraId="07DD556B" w14:textId="77777777" w:rsidR="00853650" w:rsidRPr="00853650" w:rsidRDefault="00853650" w:rsidP="00853650">
      <w:pPr>
        <w:jc w:val="both"/>
        <w:rPr>
          <w:rFonts w:ascii="Times New Roman" w:hAnsi="Times New Roman" w:cs="Times New Roman"/>
          <w:b/>
          <w:bCs/>
        </w:rPr>
      </w:pPr>
      <w:r w:rsidRPr="00853650">
        <w:rPr>
          <w:rFonts w:ascii="Times New Roman" w:hAnsi="Times New Roman" w:cs="Times New Roman"/>
          <w:b/>
          <w:bCs/>
        </w:rPr>
        <w:t>Year (YEAR)</w:t>
      </w:r>
    </w:p>
    <w:p w14:paraId="3768979A" w14:textId="4B2DFCA3" w:rsidR="00853650" w:rsidRPr="00853650" w:rsidRDefault="00853650" w:rsidP="00853650">
      <w:pPr>
        <w:jc w:val="both"/>
        <w:rPr>
          <w:rFonts w:ascii="Times New Roman" w:hAnsi="Times New Roman" w:cs="Times New Roman"/>
        </w:rPr>
      </w:pPr>
      <w:r w:rsidRPr="00853650">
        <w:rPr>
          <w:rFonts w:ascii="Times New Roman" w:hAnsi="Times New Roman" w:cs="Times New Roman"/>
        </w:rPr>
        <w:t>A company’s fiscal year.</w:t>
      </w:r>
    </w:p>
    <w:p w14:paraId="428CB454" w14:textId="77777777" w:rsidR="00853650" w:rsidRPr="00853650" w:rsidRDefault="00853650" w:rsidP="00853650">
      <w:pPr>
        <w:jc w:val="both"/>
        <w:rPr>
          <w:rFonts w:ascii="Times New Roman" w:hAnsi="Times New Roman" w:cs="Times New Roman"/>
          <w:b/>
          <w:bCs/>
        </w:rPr>
      </w:pPr>
      <w:r w:rsidRPr="00853650">
        <w:rPr>
          <w:rFonts w:ascii="Times New Roman" w:hAnsi="Times New Roman" w:cs="Times New Roman"/>
          <w:b/>
          <w:bCs/>
        </w:rPr>
        <w:t>Name (NAME)</w:t>
      </w:r>
    </w:p>
    <w:p w14:paraId="287AAB8A" w14:textId="3E41E45D" w:rsidR="00853650" w:rsidRPr="00853650" w:rsidRDefault="00853650" w:rsidP="00853650">
      <w:pPr>
        <w:jc w:val="both"/>
        <w:rPr>
          <w:rFonts w:ascii="Times New Roman" w:hAnsi="Times New Roman" w:cs="Times New Roman"/>
        </w:rPr>
      </w:pPr>
      <w:r w:rsidRPr="00853650">
        <w:rPr>
          <w:rFonts w:ascii="Times New Roman" w:hAnsi="Times New Roman" w:cs="Times New Roman"/>
        </w:rPr>
        <w:t>Name of the company or brief description of the instrument. The Name of an instrument may change in conjunction with corporate actions.</w:t>
      </w:r>
    </w:p>
    <w:p w14:paraId="0513A82D" w14:textId="77777777" w:rsidR="00853650" w:rsidRPr="00853650" w:rsidRDefault="00853650" w:rsidP="00853650">
      <w:pPr>
        <w:jc w:val="both"/>
        <w:rPr>
          <w:rFonts w:ascii="Times New Roman" w:hAnsi="Times New Roman" w:cs="Times New Roman"/>
          <w:b/>
          <w:bCs/>
        </w:rPr>
      </w:pPr>
      <w:r w:rsidRPr="00853650">
        <w:rPr>
          <w:rFonts w:ascii="Times New Roman" w:hAnsi="Times New Roman" w:cs="Times New Roman"/>
          <w:b/>
          <w:bCs/>
        </w:rPr>
        <w:t>SIC Code (EQY_SIC_CODE)</w:t>
      </w:r>
    </w:p>
    <w:p w14:paraId="29B619A1" w14:textId="00E293E3" w:rsidR="00853650" w:rsidRPr="00853650" w:rsidRDefault="00853650" w:rsidP="00853650">
      <w:pPr>
        <w:jc w:val="both"/>
        <w:rPr>
          <w:rFonts w:ascii="Times New Roman" w:hAnsi="Times New Roman" w:cs="Times New Roman"/>
        </w:rPr>
      </w:pPr>
      <w:r w:rsidRPr="00853650">
        <w:rPr>
          <w:rFonts w:ascii="Times New Roman" w:hAnsi="Times New Roman" w:cs="Times New Roman"/>
        </w:rPr>
        <w:t>A 4-digit Standard Industrial Classification code. It is the statistical classification standard underlying all establishment-based Federal economic statistics classified by industry.</w:t>
      </w:r>
    </w:p>
    <w:p w14:paraId="4A0209B5" w14:textId="77777777" w:rsidR="00853650" w:rsidRPr="00853650" w:rsidRDefault="00853650" w:rsidP="00853650">
      <w:pPr>
        <w:jc w:val="both"/>
        <w:rPr>
          <w:rFonts w:ascii="Times New Roman" w:hAnsi="Times New Roman" w:cs="Times New Roman"/>
          <w:b/>
          <w:bCs/>
        </w:rPr>
      </w:pPr>
      <w:r w:rsidRPr="00853650">
        <w:rPr>
          <w:rFonts w:ascii="Times New Roman" w:hAnsi="Times New Roman" w:cs="Times New Roman"/>
          <w:b/>
          <w:bCs/>
        </w:rPr>
        <w:t>GICS Industry (GICS_INDUSTRY)</w:t>
      </w:r>
    </w:p>
    <w:p w14:paraId="3BCE9407" w14:textId="0F50259D" w:rsidR="00853650" w:rsidRPr="00853650" w:rsidRDefault="00853650" w:rsidP="00853650">
      <w:pPr>
        <w:jc w:val="both"/>
        <w:rPr>
          <w:rFonts w:ascii="Times New Roman" w:hAnsi="Times New Roman" w:cs="Times New Roman"/>
        </w:rPr>
      </w:pPr>
      <w:r w:rsidRPr="00853650">
        <w:rPr>
          <w:rFonts w:ascii="Times New Roman" w:hAnsi="Times New Roman" w:cs="Times New Roman"/>
        </w:rPr>
        <w:t xml:space="preserve">A numeric code indicating GICS industry classification. GICS (Global Industry Classification Standard) is an industry classification standard developed by MSCI in collaboration with Standard &amp; </w:t>
      </w:r>
      <w:proofErr w:type="spellStart"/>
      <w:r w:rsidRPr="00853650">
        <w:rPr>
          <w:rFonts w:ascii="Times New Roman" w:hAnsi="Times New Roman" w:cs="Times New Roman"/>
        </w:rPr>
        <w:t>Poors</w:t>
      </w:r>
      <w:proofErr w:type="spellEnd"/>
      <w:r w:rsidRPr="00853650">
        <w:rPr>
          <w:rFonts w:ascii="Times New Roman" w:hAnsi="Times New Roman" w:cs="Times New Roman"/>
        </w:rPr>
        <w:t xml:space="preserve"> (S&amp;P). The Global Industry Classification consists of 11 sectors, 24 industry groups, 62 industries, and 132 sub-industries. The GICS classification assigns an industry to each company according to its principal business activity.</w:t>
      </w:r>
    </w:p>
    <w:p w14:paraId="7F11A908" w14:textId="77777777" w:rsidR="00853650" w:rsidRPr="00853650" w:rsidRDefault="00853650" w:rsidP="00853650">
      <w:pPr>
        <w:jc w:val="both"/>
        <w:rPr>
          <w:rFonts w:ascii="Times New Roman" w:hAnsi="Times New Roman" w:cs="Times New Roman"/>
          <w:b/>
          <w:bCs/>
        </w:rPr>
      </w:pPr>
      <w:r w:rsidRPr="00853650">
        <w:rPr>
          <w:rFonts w:ascii="Times New Roman" w:hAnsi="Times New Roman" w:cs="Times New Roman"/>
          <w:b/>
          <w:bCs/>
        </w:rPr>
        <w:t>Country or Territory of Domicile (CNTRY_OF_DOMICILE)</w:t>
      </w:r>
    </w:p>
    <w:p w14:paraId="6DA83BC9" w14:textId="10BFA9B8" w:rsidR="00853650" w:rsidRPr="00853650" w:rsidRDefault="00853650" w:rsidP="00853650">
      <w:pPr>
        <w:jc w:val="both"/>
        <w:rPr>
          <w:rFonts w:ascii="Times New Roman" w:hAnsi="Times New Roman" w:cs="Times New Roman"/>
        </w:rPr>
      </w:pPr>
      <w:r w:rsidRPr="00853650">
        <w:rPr>
          <w:rFonts w:ascii="Times New Roman" w:hAnsi="Times New Roman" w:cs="Times New Roman"/>
        </w:rPr>
        <w:t>Specifies the ISO (International Organization for Standardization) 3166-1 alpha 2 code of the location of the company’s senior management.</w:t>
      </w:r>
    </w:p>
    <w:p w14:paraId="6A0A7BDD" w14:textId="77777777" w:rsidR="00853650" w:rsidRPr="00853650" w:rsidRDefault="00853650" w:rsidP="00853650">
      <w:pPr>
        <w:jc w:val="both"/>
        <w:rPr>
          <w:rFonts w:ascii="Times New Roman" w:hAnsi="Times New Roman" w:cs="Times New Roman"/>
          <w:b/>
          <w:bCs/>
        </w:rPr>
      </w:pPr>
      <w:r w:rsidRPr="00853650">
        <w:rPr>
          <w:rFonts w:ascii="Times New Roman" w:hAnsi="Times New Roman" w:cs="Times New Roman"/>
          <w:b/>
          <w:bCs/>
        </w:rPr>
        <w:t>Number of Employees (NUM_OF_EMPLOYEES)</w:t>
      </w:r>
    </w:p>
    <w:p w14:paraId="2F3EB237" w14:textId="77777777" w:rsidR="00853650" w:rsidRPr="00853650" w:rsidRDefault="00853650" w:rsidP="00853650">
      <w:pPr>
        <w:jc w:val="both"/>
        <w:rPr>
          <w:rFonts w:ascii="Times New Roman" w:hAnsi="Times New Roman" w:cs="Times New Roman"/>
        </w:rPr>
      </w:pPr>
      <w:r w:rsidRPr="00853650">
        <w:rPr>
          <w:rFonts w:ascii="Times New Roman" w:hAnsi="Times New Roman" w:cs="Times New Roman"/>
        </w:rPr>
        <w:t>Number of people employed by the company, based on the number of full time equivalent. If unavailable, then the number of full-time employees is used, excluding part time employees.</w:t>
      </w:r>
    </w:p>
    <w:p w14:paraId="1347B529" w14:textId="77777777" w:rsidR="00853650" w:rsidRPr="00853650" w:rsidRDefault="00853650" w:rsidP="00853650">
      <w:pPr>
        <w:jc w:val="both"/>
        <w:rPr>
          <w:rFonts w:ascii="Times New Roman" w:hAnsi="Times New Roman" w:cs="Times New Roman"/>
          <w:b/>
          <w:bCs/>
        </w:rPr>
      </w:pPr>
      <w:r w:rsidRPr="00853650">
        <w:rPr>
          <w:rFonts w:ascii="Times New Roman" w:hAnsi="Times New Roman" w:cs="Times New Roman"/>
          <w:b/>
          <w:bCs/>
        </w:rPr>
        <w:t>Total Assets (BS_TOT_ASSET)</w:t>
      </w:r>
    </w:p>
    <w:p w14:paraId="5C75DD3C" w14:textId="23DEA0DE" w:rsidR="00853650" w:rsidRPr="00853650" w:rsidRDefault="00853650" w:rsidP="00853650">
      <w:pPr>
        <w:jc w:val="both"/>
        <w:rPr>
          <w:rFonts w:ascii="Times New Roman" w:hAnsi="Times New Roman" w:cs="Times New Roman"/>
        </w:rPr>
      </w:pPr>
      <w:r w:rsidRPr="00853650">
        <w:rPr>
          <w:rFonts w:ascii="Times New Roman" w:hAnsi="Times New Roman" w:cs="Times New Roman"/>
        </w:rPr>
        <w:t>The total of all short and long-term assets as reported on the Balance Sheet.</w:t>
      </w:r>
    </w:p>
    <w:p w14:paraId="30B5226F" w14:textId="77777777" w:rsidR="00853650" w:rsidRPr="00853650" w:rsidRDefault="00853650" w:rsidP="00853650">
      <w:pPr>
        <w:jc w:val="both"/>
        <w:rPr>
          <w:rFonts w:ascii="Times New Roman" w:hAnsi="Times New Roman" w:cs="Times New Roman"/>
          <w:b/>
          <w:bCs/>
        </w:rPr>
      </w:pPr>
      <w:r w:rsidRPr="00853650">
        <w:rPr>
          <w:rFonts w:ascii="Times New Roman" w:hAnsi="Times New Roman" w:cs="Times New Roman"/>
          <w:b/>
          <w:bCs/>
        </w:rPr>
        <w:t>R&amp;D Expense (IS_RD_EXPEND)</w:t>
      </w:r>
    </w:p>
    <w:p w14:paraId="2FF6DBC9" w14:textId="77777777" w:rsidR="00853650" w:rsidRPr="00853650" w:rsidRDefault="00853650" w:rsidP="00853650">
      <w:pPr>
        <w:jc w:val="both"/>
        <w:rPr>
          <w:rFonts w:ascii="Times New Roman" w:hAnsi="Times New Roman" w:cs="Times New Roman"/>
        </w:rPr>
      </w:pPr>
      <w:r w:rsidRPr="00853650">
        <w:rPr>
          <w:rFonts w:ascii="Times New Roman" w:hAnsi="Times New Roman" w:cs="Times New Roman"/>
        </w:rPr>
        <w:t>Total research and development expenditures incurred which includes R&amp;D in profit and loss account and capitalized R&amp;D during the period. In the case where total R&amp;D expenditure is not disclosed, this field may return profit and loss account only.</w:t>
      </w:r>
    </w:p>
    <w:p w14:paraId="24B6BBA7" w14:textId="77777777" w:rsidR="00853650" w:rsidRPr="00853650" w:rsidRDefault="00853650" w:rsidP="00853650">
      <w:pPr>
        <w:jc w:val="both"/>
        <w:rPr>
          <w:rFonts w:ascii="Times New Roman" w:hAnsi="Times New Roman" w:cs="Times New Roman"/>
          <w:b/>
          <w:bCs/>
        </w:rPr>
      </w:pPr>
      <w:r w:rsidRPr="00853650">
        <w:rPr>
          <w:rFonts w:ascii="Times New Roman" w:hAnsi="Times New Roman" w:cs="Times New Roman"/>
          <w:b/>
          <w:bCs/>
        </w:rPr>
        <w:t>R&amp;D Expense Adjusted (IS_OPEX_R&amp;D)</w:t>
      </w:r>
    </w:p>
    <w:p w14:paraId="1149B9A2" w14:textId="77777777" w:rsidR="00853650" w:rsidRPr="00853650" w:rsidRDefault="00853650" w:rsidP="00853650">
      <w:pPr>
        <w:jc w:val="both"/>
        <w:rPr>
          <w:rFonts w:ascii="Times New Roman" w:hAnsi="Times New Roman" w:cs="Times New Roman"/>
        </w:rPr>
      </w:pPr>
      <w:r w:rsidRPr="00853650">
        <w:rPr>
          <w:rFonts w:ascii="Times New Roman" w:hAnsi="Times New Roman" w:cs="Times New Roman"/>
        </w:rPr>
        <w:lastRenderedPageBreak/>
        <w:t>Research and development expenses that a company has incurred in the period adjusted by one-time charges such as restructuring, merger and acquisitions, gain on sale of subsidiaries, and other nonrecurring activities.</w:t>
      </w:r>
    </w:p>
    <w:p w14:paraId="7AA8ABDE" w14:textId="77777777" w:rsidR="00853650" w:rsidRPr="00853650" w:rsidRDefault="00853650" w:rsidP="00853650">
      <w:pPr>
        <w:jc w:val="both"/>
        <w:rPr>
          <w:rFonts w:ascii="Times New Roman" w:hAnsi="Times New Roman" w:cs="Times New Roman"/>
          <w:b/>
          <w:bCs/>
        </w:rPr>
      </w:pPr>
      <w:r w:rsidRPr="00853650">
        <w:rPr>
          <w:rFonts w:ascii="Times New Roman" w:hAnsi="Times New Roman" w:cs="Times New Roman"/>
          <w:b/>
          <w:bCs/>
        </w:rPr>
        <w:t>Operating Expenses R&amp;D (IS_OPERATING_EXPENSES_R&amp;D)</w:t>
      </w:r>
    </w:p>
    <w:p w14:paraId="33D65DEF" w14:textId="77777777" w:rsidR="00853650" w:rsidRPr="00853650" w:rsidRDefault="00853650" w:rsidP="00853650">
      <w:pPr>
        <w:jc w:val="both"/>
        <w:rPr>
          <w:rFonts w:ascii="Times New Roman" w:hAnsi="Times New Roman" w:cs="Times New Roman"/>
        </w:rPr>
      </w:pPr>
      <w:r w:rsidRPr="00853650">
        <w:rPr>
          <w:rFonts w:ascii="Times New Roman" w:hAnsi="Times New Roman" w:cs="Times New Roman"/>
        </w:rPr>
        <w:t>Research and development (R&amp;D) expense attributable to operating expenses.</w:t>
      </w:r>
    </w:p>
    <w:p w14:paraId="0ACC37AE" w14:textId="77777777" w:rsidR="00853650" w:rsidRPr="00853650" w:rsidRDefault="00853650" w:rsidP="00853650">
      <w:pPr>
        <w:jc w:val="both"/>
        <w:rPr>
          <w:rFonts w:ascii="Times New Roman" w:hAnsi="Times New Roman" w:cs="Times New Roman"/>
          <w:b/>
          <w:bCs/>
        </w:rPr>
      </w:pPr>
      <w:r w:rsidRPr="00853650">
        <w:rPr>
          <w:rFonts w:ascii="Times New Roman" w:hAnsi="Times New Roman" w:cs="Times New Roman"/>
          <w:b/>
          <w:bCs/>
        </w:rPr>
        <w:t>Cash and Cash Equivalents (BS_CASH_NEAR_CASH_ITEM)</w:t>
      </w:r>
    </w:p>
    <w:p w14:paraId="5780BED7" w14:textId="77777777" w:rsidR="00853650" w:rsidRPr="00853650" w:rsidRDefault="00853650" w:rsidP="00853650">
      <w:pPr>
        <w:jc w:val="both"/>
        <w:rPr>
          <w:rFonts w:ascii="Times New Roman" w:hAnsi="Times New Roman" w:cs="Times New Roman"/>
        </w:rPr>
      </w:pPr>
      <w:r w:rsidRPr="00853650">
        <w:rPr>
          <w:rFonts w:ascii="Times New Roman" w:hAnsi="Times New Roman" w:cs="Times New Roman"/>
        </w:rPr>
        <w:t>Cash and Near Cash Items: Cash in vaults and deposits in banks. Includes ST investments with maturities of less than 90 days. May include marketable securities and short-term investments with maturities of more than 90 days if not disclosed separately. Excludes restricted cash (Restricted cash is included in Other Current Assets).</w:t>
      </w:r>
    </w:p>
    <w:p w14:paraId="2CC7D838" w14:textId="77777777" w:rsidR="00853650" w:rsidRPr="00853650" w:rsidRDefault="00853650" w:rsidP="00853650">
      <w:pPr>
        <w:jc w:val="both"/>
        <w:rPr>
          <w:rFonts w:ascii="Times New Roman" w:hAnsi="Times New Roman" w:cs="Times New Roman"/>
          <w:b/>
          <w:bCs/>
        </w:rPr>
      </w:pPr>
      <w:r w:rsidRPr="00853650">
        <w:rPr>
          <w:rFonts w:ascii="Times New Roman" w:hAnsi="Times New Roman" w:cs="Times New Roman"/>
          <w:b/>
          <w:bCs/>
        </w:rPr>
        <w:t>Environmental Disclosure Score (ENVIRON_DISCLOSURE_SCORE)</w:t>
      </w:r>
    </w:p>
    <w:p w14:paraId="09BE9C56" w14:textId="77777777" w:rsidR="00853650" w:rsidRPr="00853650" w:rsidRDefault="00853650" w:rsidP="00853650">
      <w:pPr>
        <w:jc w:val="both"/>
        <w:rPr>
          <w:rFonts w:ascii="Times New Roman" w:hAnsi="Times New Roman" w:cs="Times New Roman"/>
        </w:rPr>
      </w:pPr>
      <w:r w:rsidRPr="00853650">
        <w:rPr>
          <w:rFonts w:ascii="Times New Roman" w:hAnsi="Times New Roman" w:cs="Times New Roman"/>
        </w:rPr>
        <w:t>Proprietary Bloomberg score based on the extent of a company’s environmental disclosure as part of Environmental, Social and Governance (ESG) data. Companies that are not covered by ESG group will have no score and will show N/A. Companies that do not disclose anything will show a value of ‘0’. The score ranges from 0.1 for companies that disclose a minimum amount of ESG data to 100 for those that disclose every data point collected by Bloomberg. A consistent list of topics, data fields, and field weights apply across sectors and regions. This score measures the amount of environmental data a company reports publicly and does not measure the company’s performance on any data point.</w:t>
      </w:r>
    </w:p>
    <w:p w14:paraId="05F7D2A6" w14:textId="77777777" w:rsidR="00853650" w:rsidRPr="00853650" w:rsidRDefault="00853650" w:rsidP="00853650">
      <w:pPr>
        <w:jc w:val="both"/>
        <w:rPr>
          <w:rFonts w:ascii="Times New Roman" w:hAnsi="Times New Roman" w:cs="Times New Roman"/>
          <w:b/>
          <w:bCs/>
        </w:rPr>
      </w:pPr>
      <w:r w:rsidRPr="00853650">
        <w:rPr>
          <w:rFonts w:ascii="Times New Roman" w:hAnsi="Times New Roman" w:cs="Times New Roman"/>
          <w:b/>
          <w:bCs/>
        </w:rPr>
        <w:t>Social Disclosure Score (SOCIAL_DISCLOSURE_SCORE)</w:t>
      </w:r>
    </w:p>
    <w:p w14:paraId="0F58EAD2" w14:textId="77777777" w:rsidR="00853650" w:rsidRPr="00853650" w:rsidRDefault="00853650" w:rsidP="00853650">
      <w:pPr>
        <w:jc w:val="both"/>
        <w:rPr>
          <w:rFonts w:ascii="Times New Roman" w:hAnsi="Times New Roman" w:cs="Times New Roman"/>
        </w:rPr>
      </w:pPr>
      <w:r w:rsidRPr="00853650">
        <w:rPr>
          <w:rFonts w:ascii="Times New Roman" w:hAnsi="Times New Roman" w:cs="Times New Roman"/>
        </w:rPr>
        <w:t>Proprietary Bloomberg score based on the extent of a company’s environmental disclosure as part of Environmental, Social and Governance (ESG) data. Companies that are not covered by ESG group will have no score and will show N/A. Companies that do not disclose anything will show a value of ‘0’. The score ranges from 0.1 for companies that disclose a minimum amount of ESG data to 100 for those that disclose every data point collected by Bloomberg. A consistent list of topics, data fields, and field weights apply across sectors and regions. This score measures the amount of social data a company reports publicly and does not measure the company’s performance on any data point.</w:t>
      </w:r>
    </w:p>
    <w:p w14:paraId="526B4FE1" w14:textId="77777777" w:rsidR="00853650" w:rsidRPr="00853650" w:rsidRDefault="00853650" w:rsidP="00853650">
      <w:pPr>
        <w:jc w:val="both"/>
        <w:rPr>
          <w:rFonts w:ascii="Times New Roman" w:hAnsi="Times New Roman" w:cs="Times New Roman"/>
          <w:b/>
          <w:bCs/>
        </w:rPr>
      </w:pPr>
      <w:r w:rsidRPr="00853650">
        <w:rPr>
          <w:rFonts w:ascii="Times New Roman" w:hAnsi="Times New Roman" w:cs="Times New Roman"/>
          <w:b/>
          <w:bCs/>
        </w:rPr>
        <w:t>Governance Disclosure Score (GOVNCE_DISCLOSURE_SCORE)</w:t>
      </w:r>
    </w:p>
    <w:p w14:paraId="79E453C9" w14:textId="77777777" w:rsidR="00853650" w:rsidRPr="00853650" w:rsidRDefault="00853650" w:rsidP="00853650">
      <w:pPr>
        <w:jc w:val="both"/>
        <w:rPr>
          <w:rFonts w:ascii="Times New Roman" w:hAnsi="Times New Roman" w:cs="Times New Roman"/>
        </w:rPr>
      </w:pPr>
      <w:r w:rsidRPr="00853650">
        <w:rPr>
          <w:rFonts w:ascii="Times New Roman" w:hAnsi="Times New Roman" w:cs="Times New Roman"/>
        </w:rPr>
        <w:t>Proprietary Bloomberg score based on the extent of a company’s environmental disclosure as part of Environmental, Social and Governance (ESG) data. Companies that are not covered by ESG group will have no score and will show N/A. Companies that do not disclose anything will show a value of ‘0’. The score ranges from 0.1 for companies that disclose a minimum amount of ESG data to 100 for those that disclose every data point collected by Bloomberg. A consistent list of topics, data fields, and field weights apply across sectors and regions. This score measures the amount of governance data a company reports publicly and does not measure the company’s performance on any data point.</w:t>
      </w:r>
    </w:p>
    <w:p w14:paraId="10F1A0F6" w14:textId="77777777" w:rsidR="00853650" w:rsidRPr="00853650" w:rsidRDefault="00853650" w:rsidP="00853650">
      <w:pPr>
        <w:jc w:val="both"/>
        <w:rPr>
          <w:rFonts w:ascii="Times New Roman" w:hAnsi="Times New Roman" w:cs="Times New Roman"/>
          <w:b/>
          <w:bCs/>
        </w:rPr>
      </w:pPr>
      <w:r w:rsidRPr="00853650">
        <w:rPr>
          <w:rFonts w:ascii="Times New Roman" w:hAnsi="Times New Roman" w:cs="Times New Roman"/>
          <w:b/>
          <w:bCs/>
        </w:rPr>
        <w:t>Tobin's Q Ratio (TOBIN_Q_RATIO)</w:t>
      </w:r>
    </w:p>
    <w:p w14:paraId="20B8AB86" w14:textId="77777777" w:rsidR="00853650" w:rsidRPr="00853650" w:rsidRDefault="00853650" w:rsidP="00853650">
      <w:pPr>
        <w:jc w:val="both"/>
        <w:rPr>
          <w:rFonts w:ascii="Times New Roman" w:hAnsi="Times New Roman" w:cs="Times New Roman"/>
        </w:rPr>
      </w:pPr>
      <w:r w:rsidRPr="00853650">
        <w:rPr>
          <w:rFonts w:ascii="Times New Roman" w:hAnsi="Times New Roman" w:cs="Times New Roman"/>
        </w:rPr>
        <w:t>Ratio of the market value of a firm to the replacement cost of the firm’s assets. The Q ratio is useful for the valuation of a company. It is based in the hypothesis that in the long run the market value of a company should roughly equal the cost of replacing the company’s assets. The ratio is computed as follows: (Market Cap + Total Liabilities + Preferred Equity + Minority Interest)/Total Assets</w:t>
      </w:r>
    </w:p>
    <w:p w14:paraId="7507803A" w14:textId="77777777" w:rsidR="00853650" w:rsidRPr="00853650" w:rsidRDefault="00853650" w:rsidP="00853650">
      <w:pPr>
        <w:jc w:val="both"/>
        <w:rPr>
          <w:rFonts w:ascii="Times New Roman" w:hAnsi="Times New Roman" w:cs="Times New Roman"/>
          <w:b/>
          <w:bCs/>
        </w:rPr>
      </w:pPr>
      <w:r w:rsidRPr="00853650">
        <w:rPr>
          <w:rFonts w:ascii="Times New Roman" w:hAnsi="Times New Roman" w:cs="Times New Roman"/>
          <w:b/>
          <w:bCs/>
        </w:rPr>
        <w:t>Return on Assets (RETURN_ON_ASSET)</w:t>
      </w:r>
    </w:p>
    <w:p w14:paraId="3BCF316C" w14:textId="77777777" w:rsidR="00853650" w:rsidRPr="00853650" w:rsidRDefault="00853650" w:rsidP="00853650">
      <w:pPr>
        <w:jc w:val="both"/>
        <w:rPr>
          <w:rFonts w:ascii="Times New Roman" w:hAnsi="Times New Roman" w:cs="Times New Roman"/>
        </w:rPr>
      </w:pPr>
      <w:r w:rsidRPr="00853650">
        <w:rPr>
          <w:rFonts w:ascii="Times New Roman" w:hAnsi="Times New Roman" w:cs="Times New Roman"/>
        </w:rPr>
        <w:t>Indicators of how profitable a company is relative to its total assets, in percentage. Return on assets gives an idea as to how efficient management is at using its assets to generate earnings.</w:t>
      </w:r>
    </w:p>
    <w:p w14:paraId="40AC9E7D" w14:textId="77777777" w:rsidR="00853650" w:rsidRPr="00853650" w:rsidRDefault="00853650" w:rsidP="00853650">
      <w:pPr>
        <w:jc w:val="both"/>
        <w:rPr>
          <w:rFonts w:ascii="Times New Roman" w:hAnsi="Times New Roman" w:cs="Times New Roman"/>
          <w:b/>
          <w:bCs/>
        </w:rPr>
      </w:pPr>
      <w:r w:rsidRPr="00853650">
        <w:rPr>
          <w:rFonts w:ascii="Times New Roman" w:hAnsi="Times New Roman" w:cs="Times New Roman"/>
          <w:b/>
          <w:bCs/>
        </w:rPr>
        <w:lastRenderedPageBreak/>
        <w:t>Return on Common Equity (RETURN_COM_EQY)</w:t>
      </w:r>
    </w:p>
    <w:p w14:paraId="3948EC44" w14:textId="77777777" w:rsidR="00853650" w:rsidRPr="00853650" w:rsidRDefault="00853650" w:rsidP="00853650">
      <w:pPr>
        <w:jc w:val="both"/>
        <w:rPr>
          <w:rFonts w:ascii="Times New Roman" w:hAnsi="Times New Roman" w:cs="Times New Roman"/>
        </w:rPr>
      </w:pPr>
      <w:r w:rsidRPr="00853650">
        <w:rPr>
          <w:rFonts w:ascii="Times New Roman" w:hAnsi="Times New Roman" w:cs="Times New Roman"/>
        </w:rPr>
        <w:t xml:space="preserve">Measure of a corporation’s profitability by revealing how much profit a company generates with the money shareholders have invested, in percentage. </w:t>
      </w:r>
    </w:p>
    <w:p w14:paraId="3F5D57FE" w14:textId="77777777" w:rsidR="00853650" w:rsidRPr="00853650" w:rsidRDefault="00853650" w:rsidP="00853650">
      <w:pPr>
        <w:jc w:val="both"/>
        <w:rPr>
          <w:rFonts w:ascii="Times New Roman" w:hAnsi="Times New Roman" w:cs="Times New Roman"/>
          <w:b/>
          <w:bCs/>
        </w:rPr>
      </w:pPr>
      <w:r w:rsidRPr="00853650">
        <w:rPr>
          <w:rFonts w:ascii="Times New Roman" w:hAnsi="Times New Roman" w:cs="Times New Roman"/>
          <w:b/>
          <w:bCs/>
        </w:rPr>
        <w:t>Gross Margin (GROSS_MARGIN)</w:t>
      </w:r>
    </w:p>
    <w:p w14:paraId="7B057B4B" w14:textId="77777777" w:rsidR="00853650" w:rsidRPr="00853650" w:rsidRDefault="00853650" w:rsidP="00853650">
      <w:pPr>
        <w:jc w:val="both"/>
        <w:rPr>
          <w:rFonts w:ascii="Times New Roman" w:hAnsi="Times New Roman" w:cs="Times New Roman"/>
        </w:rPr>
      </w:pPr>
      <w:r w:rsidRPr="00853650">
        <w:rPr>
          <w:rFonts w:ascii="Times New Roman" w:hAnsi="Times New Roman" w:cs="Times New Roman"/>
        </w:rPr>
        <w:t>Gross margin represents the percent of total sales revenue that the company retains after incurring the direct costs associated with producing the goods and services sold by a company. Calculated as: (Net Sales – Cost of Goods Sold) * 100/Net Sales.</w:t>
      </w:r>
    </w:p>
    <w:p w14:paraId="5AFE3293" w14:textId="77777777" w:rsidR="00853650" w:rsidRPr="00853650" w:rsidRDefault="00853650" w:rsidP="005D1ECE">
      <w:pPr>
        <w:jc w:val="both"/>
        <w:rPr>
          <w:rFonts w:ascii="Times New Roman" w:hAnsi="Times New Roman" w:cs="Times New Roman"/>
        </w:rPr>
      </w:pPr>
    </w:p>
    <w:p w14:paraId="3AB64738" w14:textId="77777777" w:rsidR="009F33E2" w:rsidRDefault="009F33E2" w:rsidP="005D1ECE">
      <w:pPr>
        <w:jc w:val="both"/>
        <w:rPr>
          <w:rFonts w:ascii="Times New Roman" w:hAnsi="Times New Roman" w:cs="Times New Roman"/>
          <w:lang w:val="en-US"/>
        </w:rPr>
      </w:pPr>
    </w:p>
    <w:p w14:paraId="44914CC3" w14:textId="77777777" w:rsidR="001B4573" w:rsidRPr="008057EB" w:rsidRDefault="001B4573" w:rsidP="00BB1E8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416D8F4E" w14:textId="199BBC3A" w:rsidR="003B0154" w:rsidRPr="008057EB" w:rsidRDefault="008057EB" w:rsidP="008057EB">
      <w:pPr>
        <w:jc w:val="both"/>
        <w:rPr>
          <w:rFonts w:ascii="Times New Roman" w:hAnsi="Times New Roman" w:cs="Times New Roman"/>
          <w:u w:val="single"/>
          <w:lang w:val="en-US"/>
        </w:rPr>
      </w:pPr>
      <w:r w:rsidRPr="008057EB">
        <w:rPr>
          <w:rFonts w:ascii="Times New Roman" w:hAnsi="Times New Roman" w:cs="Times New Roman"/>
          <w:lang w:val="en-US"/>
        </w:rPr>
        <w:t xml:space="preserve"> </w:t>
      </w:r>
    </w:p>
    <w:p w14:paraId="06F7E474" w14:textId="77777777" w:rsidR="00A81E85" w:rsidRPr="004B79AB" w:rsidRDefault="00A81E85" w:rsidP="004B79AB">
      <w:pPr>
        <w:jc w:val="both"/>
        <w:rPr>
          <w:rFonts w:ascii="Times New Roman" w:hAnsi="Times New Roman" w:cs="Times New Roman"/>
          <w:lang w:val="en-US"/>
        </w:rPr>
      </w:pPr>
    </w:p>
    <w:sectPr w:rsidR="00A81E85" w:rsidRPr="004B7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131"/>
    <w:multiLevelType w:val="hybridMultilevel"/>
    <w:tmpl w:val="F3B27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A442B"/>
    <w:multiLevelType w:val="hybridMultilevel"/>
    <w:tmpl w:val="DCEAB4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922FC"/>
    <w:multiLevelType w:val="hybridMultilevel"/>
    <w:tmpl w:val="87BCDEAC"/>
    <w:lvl w:ilvl="0" w:tplc="0809000F">
      <w:start w:val="1"/>
      <w:numFmt w:val="decimal"/>
      <w:lvlText w:val="%1."/>
      <w:lvlJc w:val="left"/>
      <w:pPr>
        <w:ind w:left="776" w:hanging="360"/>
      </w:pPr>
    </w:lvl>
    <w:lvl w:ilvl="1" w:tplc="08090019" w:tentative="1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" w15:restartNumberingAfterBreak="0">
    <w:nsid w:val="6F130D78"/>
    <w:multiLevelType w:val="hybridMultilevel"/>
    <w:tmpl w:val="0D8277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852C6"/>
    <w:multiLevelType w:val="hybridMultilevel"/>
    <w:tmpl w:val="21C4C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1MLMwNzAxNDQwtjRW0lEKTi0uzszPAykwqgUADl64fCwAAAA="/>
  </w:docVars>
  <w:rsids>
    <w:rsidRoot w:val="005A46B8"/>
    <w:rsid w:val="001B4573"/>
    <w:rsid w:val="00301A30"/>
    <w:rsid w:val="00351905"/>
    <w:rsid w:val="00385BDE"/>
    <w:rsid w:val="003B0154"/>
    <w:rsid w:val="00417AD0"/>
    <w:rsid w:val="004B79AB"/>
    <w:rsid w:val="005A46B8"/>
    <w:rsid w:val="005C1974"/>
    <w:rsid w:val="005D1ECE"/>
    <w:rsid w:val="005E4365"/>
    <w:rsid w:val="0061650B"/>
    <w:rsid w:val="00636567"/>
    <w:rsid w:val="007114F6"/>
    <w:rsid w:val="007336EB"/>
    <w:rsid w:val="00761C8C"/>
    <w:rsid w:val="008057EB"/>
    <w:rsid w:val="00827C1C"/>
    <w:rsid w:val="00853650"/>
    <w:rsid w:val="00893C5E"/>
    <w:rsid w:val="008F001B"/>
    <w:rsid w:val="00905611"/>
    <w:rsid w:val="009124C7"/>
    <w:rsid w:val="0097719F"/>
    <w:rsid w:val="009B25C0"/>
    <w:rsid w:val="009F33E2"/>
    <w:rsid w:val="00A733CB"/>
    <w:rsid w:val="00A81E85"/>
    <w:rsid w:val="00AA4851"/>
    <w:rsid w:val="00AF72A0"/>
    <w:rsid w:val="00BB1E8A"/>
    <w:rsid w:val="00BE40DC"/>
    <w:rsid w:val="00C914FE"/>
    <w:rsid w:val="00CF7450"/>
    <w:rsid w:val="00EB7A70"/>
    <w:rsid w:val="00F16B3D"/>
    <w:rsid w:val="00FD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E1CF"/>
  <w15:chartTrackingRefBased/>
  <w15:docId w15:val="{62EC2E89-0CDA-4B70-8630-C29ADA38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6B8"/>
  </w:style>
  <w:style w:type="paragraph" w:styleId="Heading1">
    <w:name w:val="heading 1"/>
    <w:basedOn w:val="Normal"/>
    <w:next w:val="Normal"/>
    <w:link w:val="Heading1Char"/>
    <w:uiPriority w:val="9"/>
    <w:qFormat/>
    <w:rsid w:val="00385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B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B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24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573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semiHidden/>
    <w:rsid w:val="00EB7A70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EB7A7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ffiliation">
    <w:name w:val="Affiliation"/>
    <w:basedOn w:val="Normal"/>
    <w:uiPriority w:val="99"/>
    <w:rsid w:val="00EB7A70"/>
    <w:pPr>
      <w:spacing w:after="240" w:line="280" w:lineRule="exact"/>
      <w:jc w:val="center"/>
    </w:pPr>
    <w:rPr>
      <w:rFonts w:ascii="Times New Roman" w:eastAsia="Times New Roman" w:hAnsi="Times New Roman" w:cs="Times New Roman"/>
      <w:sz w:val="20"/>
      <w:szCs w:val="20"/>
      <w:lang w:val="en-I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-analytics-in-business/week-01/blob/main/exercises/02-Advanced.ipynb" TargetMode="External"/><Relationship Id="rId5" Type="http://schemas.openxmlformats.org/officeDocument/2006/relationships/hyperlink" Target="https://github.com/data-analytics-in-business/week-01/blob/main/exercises/02-Advanced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2621</Words>
  <Characters>14943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MINHAO</dc:creator>
  <cp:keywords/>
  <dc:description/>
  <cp:lastModifiedBy>MINHAO</cp:lastModifiedBy>
  <cp:revision>2</cp:revision>
  <dcterms:created xsi:type="dcterms:W3CDTF">2021-11-28T11:43:00Z</dcterms:created>
  <dcterms:modified xsi:type="dcterms:W3CDTF">2021-11-28T11:43:00Z</dcterms:modified>
</cp:coreProperties>
</file>