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Para realizar los diagramas utilizamos la herramienta colaborativa Draw.io</w:t>
      </w:r>
    </w:p>
    <w:p w:rsidR="00000000" w:rsidDel="00000000" w:rsidP="00000000" w:rsidRDefault="00000000" w:rsidRPr="00000000">
      <w:pPr>
        <w:pBdr/>
        <w:contextualSpacing w:val="0"/>
        <w:rPr>
          <w:color w:val="1c4587"/>
        </w:rPr>
      </w:pPr>
      <w:r w:rsidDel="00000000" w:rsidR="00000000" w:rsidRPr="00000000">
        <w:rPr>
          <w:rtl w:val="0"/>
        </w:rPr>
      </w:r>
    </w:p>
    <w:p w:rsidR="00000000" w:rsidDel="00000000" w:rsidP="00000000" w:rsidRDefault="00000000" w:rsidRPr="00000000">
      <w:pPr>
        <w:pBdr/>
        <w:contextualSpacing w:val="0"/>
        <w:jc w:val="center"/>
        <w:rPr>
          <w:b w:val="1"/>
          <w:color w:val="1c4587"/>
        </w:rPr>
      </w:pPr>
      <w:r w:rsidDel="00000000" w:rsidR="00000000" w:rsidRPr="00000000">
        <w:rPr>
          <w:b w:val="1"/>
          <w:color w:val="1c4587"/>
          <w:rtl w:val="0"/>
        </w:rPr>
        <w:t xml:space="preserve">Consideraciones para los distintos diagramas.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Diagrama de clases para servidor web</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El grupo decidió no crear la clase usuario debido a que nos pareció que no era necesaria dado que lo único que se guarda del usuario es su patente por lo cual guardamos la patente como una variable del estacionamiento y prescindimos de crear la clase Usuario.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Dentro de la clase zona definimos una variable precio a pesar de que esta valga para todas 10$ por si en algún momento surgiera la necesidad de cambiar el precio o aumentar el precio de alguna zona en particular.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La función de la clase Franja horaria es poder guardar la zona de inicio y de fín para cada zona para poder así registrar en el sistema.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En la clase Zona definimos una lista llamada realizado para poder mantener el control de cada estacionamiento realizado en cada zona.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Diagrama de clases para aplicación móvil</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Aplican a este diagrama las consideraciones del diagrama de clases para aplicación web.</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Para resolver el punto de acceso con el objetivo de poder pagar con diferentes medio de pago implementamos el patrón de diseño Strategy para que un futuro si se desea proveer otro medio de pago sea más fácil su implementación.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La persona que utilice la aplicación debe tener un usuario.</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En la clase Zona definimos una lista llamada realizado para poder mantener el control de cada estacionamiento realizado en cada zona.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Diagrama de Secuencia para servidor web</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Las zonas ya estar previamente cargadas.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Las zonas en un futuro pueden tener diferentes precios.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Diagrama de Secuencia aplicación móvil</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Las zonas ya estar previamente cargadas.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Las zonas en un futuro pueden tener diferentes precios.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