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F2240"/>
          <w:sz w:val="32"/>
        </w:rPr>
        <w:t>UNIVERSIDAD DE GUADALAJARA</w:t>
      </w:r>
    </w:p>
    <w:p>
      <w:pPr>
        <w:jc w:val="center"/>
      </w:pPr>
      <w:r>
        <w:rPr>
          <w:rFonts w:ascii="Times New Roman" w:hAnsi="Times New Roman"/>
          <w:b/>
          <w:color w:val="0F2240"/>
          <w:sz w:val="26"/>
        </w:rPr>
        <w:t>CENTRO UNIVERSITARIO DE LA COSTA</w:t>
      </w:r>
    </w:p>
    <w:p/>
    <w:p>
      <w:pPr>
        <w:jc w:val="center"/>
      </w:pPr>
      <w:r>
        <w:drawing>
          <wp:inline xmlns:a="http://schemas.openxmlformats.org/drawingml/2006/main" xmlns:pic="http://schemas.openxmlformats.org/drawingml/2006/picture">
            <wp:extent cx="1152000" cy="1554113"/>
            <wp:docPr id="1" name="Picture 1"/>
            <wp:cNvGraphicFramePr>
              <a:graphicFrameLocks noChangeAspect="1"/>
            </wp:cNvGraphicFramePr>
            <a:graphic>
              <a:graphicData uri="http://schemas.openxmlformats.org/drawingml/2006/picture">
                <pic:pic>
                  <pic:nvPicPr>
                    <pic:cNvPr id="0" name="logo_udg.png"/>
                    <pic:cNvPicPr/>
                  </pic:nvPicPr>
                  <pic:blipFill>
                    <a:blip r:embed="rId9"/>
                    <a:stretch>
                      <a:fillRect/>
                    </a:stretch>
                  </pic:blipFill>
                  <pic:spPr>
                    <a:xfrm>
                      <a:off x="0" y="0"/>
                      <a:ext cx="1152000" cy="1554113"/>
                    </a:xfrm>
                    <a:prstGeom prst="rect"/>
                  </pic:spPr>
                </pic:pic>
              </a:graphicData>
            </a:graphic>
          </wp:inline>
        </w:drawing>
      </w:r>
    </w:p>
    <w:p/>
    <w:p>
      <w:pPr>
        <w:spacing w:after="80"/>
        <w:jc w:val="center"/>
      </w:pPr>
      <w:r>
        <w:rPr>
          <w:rFonts w:ascii="Times New Roman" w:hAnsi="Times New Roman"/>
          <w:b/>
          <w:color w:val="0F2240"/>
          <w:sz w:val="34"/>
        </w:rPr>
        <w:t>ACTIVIDAD DE INVESTIGACIÓN</w:t>
      </w:r>
    </w:p>
    <w:p>
      <w:pPr>
        <w:jc w:val="center"/>
      </w:pPr>
      <w:r>
        <w:rPr>
          <w:rFonts w:ascii="Times New Roman" w:hAnsi="Times New Roman"/>
          <w:b/>
          <w:color w:val="232323"/>
          <w:sz w:val="27"/>
        </w:rPr>
        <w:t>Pruebas No Funcionales, Registro y Seguimiento de Defectos,</w:t>
        <w:br/>
        <w:t>y Pruebas de Regresión</w:t>
      </w:r>
    </w:p>
    <w:p/>
    <w:p>
      <w:pPr>
        <w:spacing w:before="20" w:after="20"/>
        <w:jc w:val="center"/>
      </w:pPr>
      <w:r>
        <w:rPr>
          <w:rFonts w:ascii="Times New Roman" w:hAnsi="Times New Roman"/>
          <w:b/>
          <w:sz w:val="23"/>
        </w:rPr>
        <w:t xml:space="preserve">Materia: </w:t>
      </w:r>
      <w:r>
        <w:rPr>
          <w:rFonts w:ascii="Times New Roman" w:hAnsi="Times New Roman"/>
          <w:sz w:val="23"/>
        </w:rPr>
        <w:t>2026 B2 Laboratorio Abierto, Pruebas</w:t>
      </w:r>
    </w:p>
    <w:p>
      <w:pPr>
        <w:spacing w:before="20" w:after="20"/>
        <w:jc w:val="center"/>
      </w:pPr>
      <w:r>
        <w:rPr>
          <w:rFonts w:ascii="Times New Roman" w:hAnsi="Times New Roman"/>
          <w:b/>
          <w:sz w:val="23"/>
        </w:rPr>
        <w:t xml:space="preserve">Profesor: </w:t>
      </w:r>
      <w:r>
        <w:rPr>
          <w:rFonts w:ascii="Times New Roman" w:hAnsi="Times New Roman"/>
          <w:sz w:val="23"/>
        </w:rPr>
        <w:t>José Francisco Reinaga Camacho</w:t>
      </w:r>
    </w:p>
    <w:p>
      <w:pPr>
        <w:spacing w:before="20" w:after="20"/>
        <w:jc w:val="center"/>
      </w:pPr>
      <w:r>
        <w:rPr>
          <w:rFonts w:ascii="Times New Roman" w:hAnsi="Times New Roman"/>
          <w:b/>
          <w:sz w:val="23"/>
        </w:rPr>
        <w:t xml:space="preserve">Fecha de entrega: </w:t>
      </w:r>
      <w:r>
        <w:rPr>
          <w:rFonts w:ascii="Times New Roman" w:hAnsi="Times New Roman"/>
          <w:sz w:val="23"/>
        </w:rPr>
        <w:t>14 de octubre de 2026</w:t>
      </w:r>
    </w:p>
    <w:p/>
    <w:p>
      <w:pPr>
        <w:spacing w:after="40"/>
        <w:jc w:val="center"/>
      </w:pPr>
      <w:r>
        <w:rPr>
          <w:rFonts w:ascii="Times New Roman" w:hAnsi="Times New Roman"/>
          <w:b/>
          <w:sz w:val="24"/>
        </w:rPr>
        <w:t>Integrantes del Equipo:</w:t>
      </w:r>
    </w:p>
    <w:p>
      <w:pPr>
        <w:spacing w:before="20" w:after="20"/>
        <w:jc w:val="center"/>
      </w:pPr>
      <w:r>
        <w:rPr>
          <w:rFonts w:ascii="Times New Roman" w:hAnsi="Times New Roman"/>
          <w:sz w:val="23"/>
        </w:rPr>
        <w:t>222967908 — Corona Méndez Jonathan Ismael</w:t>
      </w:r>
    </w:p>
    <w:p>
      <w:pPr>
        <w:spacing w:before="20" w:after="20"/>
        <w:jc w:val="center"/>
      </w:pPr>
      <w:r>
        <w:rPr>
          <w:rFonts w:ascii="Times New Roman" w:hAnsi="Times New Roman"/>
          <w:sz w:val="23"/>
        </w:rPr>
        <w:t>222967843 — González Crisanto Ana Karen</w:t>
      </w:r>
    </w:p>
    <w:p>
      <w:pPr>
        <w:spacing w:before="20" w:after="20"/>
        <w:jc w:val="center"/>
      </w:pPr>
      <w:r>
        <w:rPr>
          <w:rFonts w:ascii="Times New Roman" w:hAnsi="Times New Roman"/>
          <w:sz w:val="23"/>
        </w:rPr>
        <w:t>222967835 — Herrera Galindo Brithany Juliette</w:t>
      </w:r>
    </w:p>
    <w:p/>
    <w:p>
      <w:pPr>
        <w:jc w:val="center"/>
      </w:pPr>
      <w:r>
        <w:rPr>
          <w:rFonts w:ascii="Times New Roman" w:hAnsi="Times New Roman"/>
          <w:sz w:val="22"/>
        </w:rPr>
        <w:t>Puerto Vallarta, Jalisco — Octubre de 2026</w:t>
      </w:r>
    </w:p>
    <w:p>
      <w:r>
        <w:br w:type="page"/>
      </w:r>
    </w:p>
    <w:p>
      <w:pPr>
        <w:keepNext/>
        <w:spacing w:before="260" w:after="80"/>
      </w:pPr>
      <w:r>
        <w:rPr>
          <w:rFonts w:ascii="Times New Roman" w:hAnsi="Times New Roman"/>
          <w:b/>
          <w:color w:val="0F2240"/>
          <w:sz w:val="27"/>
        </w:rPr>
        <w:t>Objetivo de la Actividad</w:t>
      </w:r>
    </w:p>
    <w:p>
      <w:pPr>
        <w:spacing w:before="0" w:after="100" w:line="276" w:lineRule="auto"/>
        <w:jc w:val="both"/>
      </w:pPr>
      <w:r>
        <w:rPr>
          <w:rFonts w:ascii="Times New Roman" w:hAnsi="Times New Roman"/>
          <w:color w:val="232323"/>
          <w:sz w:val="24"/>
        </w:rPr>
        <w:t>Comprender a profundidad la importancia crítica de las pruebas no funcionales, los mecanismos formales de registro y seguimiento de defectos, y las estrategias de ejecución de pruebas de regresión dentro del proceso de aseguramiento de la calidad del software (Software Quality Assurance - SQA). A través de esta investigación se analiza cómo estos tres pilares se complementan para garantizar sistemas informáticos robustos, seguros, escalables y con alta mantenibilidad en entornos de producción reales [1], [2].</w:t>
      </w:r>
    </w:p>
    <w:p>
      <w:pPr>
        <w:keepNext/>
        <w:spacing w:before="260" w:after="80"/>
      </w:pPr>
      <w:r>
        <w:rPr>
          <w:rFonts w:ascii="Times New Roman" w:hAnsi="Times New Roman"/>
          <w:b/>
          <w:color w:val="0F2240"/>
          <w:sz w:val="27"/>
        </w:rPr>
        <w:t>1. Investigación Teórica</w:t>
      </w:r>
    </w:p>
    <w:p>
      <w:pPr>
        <w:keepNext/>
        <w:spacing w:before="200" w:after="60"/>
      </w:pPr>
      <w:r>
        <w:rPr>
          <w:rFonts w:ascii="Times New Roman" w:hAnsi="Times New Roman"/>
          <w:b/>
          <w:color w:val="0F2240"/>
          <w:sz w:val="24"/>
        </w:rPr>
        <w:t>1.1. Pruebas No Funcionales</w:t>
      </w:r>
    </w:p>
    <w:p>
      <w:pPr>
        <w:spacing w:before="0" w:after="100" w:line="276" w:lineRule="auto"/>
        <w:jc w:val="both"/>
      </w:pPr>
      <w:r>
        <w:rPr>
          <w:rFonts w:ascii="Times New Roman" w:hAnsi="Times New Roman"/>
          <w:color w:val="232323"/>
          <w:sz w:val="24"/>
        </w:rPr>
        <w:t>Concepto y propósito: Las pruebas no funcionales corresponden a aquellas actividades de verificación y validación orientadas a evaluar los atributos de calidad, comportamiento y restricciones operativas de un sistema de software, en contraposición con las funciones o cálculos específicos que este realiza [3]. Mientras que las pruebas funcionales responden a la interrogante "¿Qué hace el sistema?", las pruebas no funcionales responden a "¿Cómo lo hace?" (es decir, con qué rapidez, bajo qué nivel de seguridad, ante cuánta carga simultánea y con qué grado de facilidad de uso) [4].</w:t>
      </w:r>
    </w:p>
    <w:p>
      <w:pPr>
        <w:spacing w:before="0" w:after="100" w:line="276" w:lineRule="auto"/>
        <w:jc w:val="both"/>
      </w:pPr>
      <w:r>
        <w:rPr>
          <w:rFonts w:ascii="Times New Roman" w:hAnsi="Times New Roman"/>
          <w:color w:val="232323"/>
          <w:sz w:val="24"/>
        </w:rPr>
        <w:t>El propósito primordial de las pruebas no funcionales radica en garantizar que la aplicación sea viable, confiable y satisfactoria para los usuarios finales dentro de un entorno de producción real. Un producto de software puede ejecutar con precisión matemática cada regla de negocio, pero si tarda minutos en responder, presenta vulnerabilidades que comprometen datos confidenciales o colapsa al recibir múltiples conexiones concurrentes, dicho producto resulta completamente inútil y perjudicial para la organización [3], [5].</w:t>
      </w:r>
    </w:p>
    <w:p>
      <w:pPr>
        <w:keepNext/>
        <w:spacing w:before="140" w:after="40"/>
      </w:pPr>
      <w:r>
        <w:rPr>
          <w:rFonts w:ascii="Times New Roman" w:hAnsi="Times New Roman"/>
          <w:b/>
          <w:color w:val="465A78"/>
          <w:sz w:val="23"/>
        </w:rPr>
        <w:t>Tipos Principales de Pruebas No Funcionales</w:t>
      </w:r>
    </w:p>
    <w:p>
      <w:pPr>
        <w:spacing w:before="0" w:after="100" w:line="276" w:lineRule="auto"/>
        <w:jc w:val="both"/>
      </w:pPr>
      <w:r>
        <w:rPr>
          <w:rFonts w:ascii="Times New Roman" w:hAnsi="Times New Roman"/>
          <w:color w:val="232323"/>
          <w:sz w:val="24"/>
        </w:rPr>
        <w:t>De acuerdo con modelos internacionales de calidad como el estándar ISO/IEC 25010 (Systems and software Quality Requirements and Evaluation - SQuaRE) [3], las pruebas no funcionales se clasifican en diversas categorías esenciales:</w:t>
      </w:r>
    </w:p>
    <w:p>
      <w:pPr>
        <w:pStyle w:val="ListBullet"/>
        <w:spacing w:before="0" w:after="60" w:line="276" w:lineRule="auto"/>
        <w:jc w:val="both"/>
      </w:pPr>
      <w:r>
        <w:rPr>
          <w:rFonts w:ascii="Times New Roman" w:hAnsi="Times New Roman"/>
          <w:b/>
          <w:color w:val="232323"/>
          <w:sz w:val="24"/>
        </w:rPr>
        <w:t>a) Pruebas de Rendimiento (Performance Testing):</w:t>
      </w:r>
      <w:r>
        <w:rPr>
          <w:rFonts w:ascii="Times New Roman" w:hAnsi="Times New Roman"/>
          <w:color w:val="232323"/>
          <w:sz w:val="24"/>
        </w:rPr>
        <w:t xml:space="preserve"> Evalúan el tiempo de respuesta, la latencia, el rendimiento transaccional (throughput) y el consumo de recursos (CPU, memoria RAM, I/O en disco, ancho de banda de red) bajo condiciones definidas de trabajo. Se subdividen a su vez en: (1) Pruebas de Carga (Load Testing), para medir el comportamiento con la concurrencia normal esperada; (2) Pruebas de Estrés (Stress Testing), que someten al sistema a demandas extremas más allá de su capacidad nominal para identificar su punto de quiebre y su capacidad de recuperación; (3) Pruebas de Resistencia o Fatiga (Endurance/Soak Testing), que monitorean la estabilidad durante periodos prolongados para detectar fugas de memoria (memory leaks); y (4) Pruebas de Picos (Spike Testing), que analizan la respuesta frente a incrementos repentinos de tráfico.</w:t>
      </w:r>
    </w:p>
    <w:p>
      <w:pPr>
        <w:pStyle w:val="ListBullet"/>
        <w:spacing w:before="0" w:after="60" w:line="276" w:lineRule="auto"/>
        <w:jc w:val="both"/>
      </w:pPr>
      <w:r>
        <w:rPr>
          <w:rFonts w:ascii="Times New Roman" w:hAnsi="Times New Roman"/>
          <w:b/>
          <w:color w:val="232323"/>
          <w:sz w:val="24"/>
        </w:rPr>
        <w:t>b) Pruebas de Seguridad (Security Testing):</w:t>
      </w:r>
      <w:r>
        <w:rPr>
          <w:rFonts w:ascii="Times New Roman" w:hAnsi="Times New Roman"/>
          <w:color w:val="232323"/>
          <w:sz w:val="24"/>
        </w:rPr>
        <w:t xml:space="preserve"> Verifican que la aplicación y sus canales de comunicación protejan adecuadamente la confidencialidad, integridad, disponibilidad, autenticidad y no repudio de la información. Incluyen análisis de vulnerabilidades (basados en estándares como OWASP Top 10), pruebas de penetración (pentesting), auditorías de autenticación multifactor, control de acceso basado en roles (RBAC), mitigación de inyecciones SQL/NoSQL, blindaje contra Cross-Site Scripting (XSS), falsificación de peticiones en sitios cruzados (CSRF) y cifrado de datos tanto en reposo como en tránsito mediante TLS/HTTPS [1].</w:t>
      </w:r>
    </w:p>
    <w:p>
      <w:pPr>
        <w:pStyle w:val="ListBullet"/>
        <w:spacing w:before="0" w:after="60" w:line="276" w:lineRule="auto"/>
        <w:jc w:val="both"/>
      </w:pPr>
      <w:r>
        <w:rPr>
          <w:rFonts w:ascii="Times New Roman" w:hAnsi="Times New Roman"/>
          <w:b/>
          <w:color w:val="232323"/>
          <w:sz w:val="24"/>
        </w:rPr>
        <w:t>c) Pruebas de Usabilidad (Usability Testing):</w:t>
      </w:r>
      <w:r>
        <w:rPr>
          <w:rFonts w:ascii="Times New Roman" w:hAnsi="Times New Roman"/>
          <w:color w:val="232323"/>
          <w:sz w:val="24"/>
        </w:rPr>
        <w:t xml:space="preserve"> Miden el grado de facilidad de aprendizaje (learnability), eficiencia operativa, memorabilidad, tolerancia a fallos por parte del usuario y satisfacción subjetiva al interactuar con la interfaz humana. Se fundamentan en principios ergonómicos, heurísticas de usabilidad de Nielsen y estándares de accesibilidad web (como WCAG 2.1) para asegurar que usuarios con diversas capacidades puedan operar el sistema sin fricción.</w:t>
      </w:r>
    </w:p>
    <w:p>
      <w:pPr>
        <w:pStyle w:val="ListBullet"/>
        <w:spacing w:before="0" w:after="60" w:line="276" w:lineRule="auto"/>
        <w:jc w:val="both"/>
      </w:pPr>
      <w:r>
        <w:rPr>
          <w:rFonts w:ascii="Times New Roman" w:hAnsi="Times New Roman"/>
          <w:b/>
          <w:color w:val="232323"/>
          <w:sz w:val="24"/>
        </w:rPr>
        <w:t>d) Pruebas de Compatibilidad e Interoperabilidad:</w:t>
      </w:r>
      <w:r>
        <w:rPr>
          <w:rFonts w:ascii="Times New Roman" w:hAnsi="Times New Roman"/>
          <w:color w:val="232323"/>
          <w:sz w:val="24"/>
        </w:rPr>
        <w:t xml:space="preserve"> Aseguran que el software opere de manera consistente y uniforme a través de diferentes plataformas, sistemas operativos (Windows, Linux, macOS, Android, iOS), navegadores web (Chrome, Firefox, Safari, Edge), resoluciones de pantalla y entornos de hardware. Asimismo, validan el intercambio seguro y transparente de datos con servicios externos, APIs y bases de datos heterogéneas.</w:t>
      </w:r>
    </w:p>
    <w:p>
      <w:pPr>
        <w:pStyle w:val="ListBullet"/>
        <w:spacing w:before="0" w:after="60" w:line="276" w:lineRule="auto"/>
        <w:jc w:val="both"/>
      </w:pPr>
      <w:r>
        <w:rPr>
          <w:rFonts w:ascii="Times New Roman" w:hAnsi="Times New Roman"/>
          <w:b/>
          <w:color w:val="232323"/>
          <w:sz w:val="24"/>
        </w:rPr>
        <w:t>e) Pruebas de Confiabilidad y Recuperabilidad (Reliability &amp; Disaster Recovery):</w:t>
      </w:r>
      <w:r>
        <w:rPr>
          <w:rFonts w:ascii="Times New Roman" w:hAnsi="Times New Roman"/>
          <w:color w:val="232323"/>
          <w:sz w:val="24"/>
        </w:rPr>
        <w:t xml:space="preserve"> Comprueban la capacidad del sistema para mantener un nivel especificado de servicio y disponibilidad ante condiciones anómalas o caídas de infraestructura. Evalúan métricas como el tiempo medio entre fallos (MTBF) y el tiempo medio de recuperación (MTTR), así como la efectividad de los respaldos automatizados y los mecanismos de conmutación por error (failover).</w:t>
      </w:r>
    </w:p>
    <w:p>
      <w:pPr>
        <w:keepNext/>
        <w:spacing w:before="140" w:after="40"/>
      </w:pPr>
      <w:r>
        <w:rPr>
          <w:rFonts w:ascii="Times New Roman" w:hAnsi="Times New Roman"/>
          <w:b/>
          <w:color w:val="465A78"/>
          <w:sz w:val="23"/>
        </w:rPr>
        <w:t>Diferencias entre Pruebas Funcionales y No Funcionales</w:t>
      </w:r>
    </w:p>
    <w:p>
      <w:pPr>
        <w:spacing w:before="0" w:after="100" w:line="276" w:lineRule="auto"/>
        <w:jc w:val="both"/>
      </w:pPr>
      <w:r>
        <w:rPr>
          <w:rFonts w:ascii="Times New Roman" w:hAnsi="Times New Roman"/>
          <w:color w:val="232323"/>
          <w:sz w:val="24"/>
        </w:rPr>
        <w:t>Aunque ambas modalidades son indispensables para certificar la calidad integral de una solución tecnológica, poseen enfoques, objetivos, orígenes de requisitos y métodos de evaluación sustancialmente distintos [4], [5]. A continuación, se presenta una tabla comparativa que sintetiza sus contrastes fundamentales:</w:t>
      </w:r>
    </w:p>
    <w:tbl>
      <w:tblPr>
        <w:tblStyle w:val="TableGrid"/>
        <w:tblW w:type="auto" w:w="0"/>
        <w:jc w:val="center"/>
        <w:tblLook w:firstColumn="1" w:firstRow="1" w:lastColumn="0" w:lastRow="0" w:noHBand="0" w:noVBand="1" w:val="04A0"/>
      </w:tblPr>
      <w:tblGrid>
        <w:gridCol w:w="3135"/>
        <w:gridCol w:w="3135"/>
        <w:gridCol w:w="3135"/>
      </w:tblGrid>
      <w:tr>
        <w:tc>
          <w:tcPr>
            <w:tcW w:type="dxa" w:w="3135"/>
            <w:tcMar>
              <w:top w:w="70" w:type="dxa"/>
              <w:bottom w:w="70" w:type="dxa"/>
              <w:left w:w="90" w:type="dxa"/>
              <w:right w:w="90" w:type="dxa"/>
            </w:tcMar>
            <w:shd w:fill="0F2240"/>
          </w:tcPr>
          <w:p>
            <w:pPr>
              <w:spacing w:before="60" w:after="60" w:line="252" w:lineRule="auto"/>
              <w:jc w:val="center"/>
            </w:pPr>
            <w:r/>
            <w:r>
              <w:rPr>
                <w:rFonts w:ascii="Times New Roman" w:hAnsi="Times New Roman"/>
                <w:b/>
                <w:color w:val="FFFFFF"/>
                <w:sz w:val="20"/>
              </w:rPr>
              <w:t>Criterio de Evaluación</w:t>
            </w:r>
          </w:p>
        </w:tc>
        <w:tc>
          <w:tcPr>
            <w:tcW w:type="dxa" w:w="3135"/>
            <w:tcMar>
              <w:top w:w="70" w:type="dxa"/>
              <w:bottom w:w="70" w:type="dxa"/>
              <w:left w:w="90" w:type="dxa"/>
              <w:right w:w="90" w:type="dxa"/>
            </w:tcMar>
            <w:shd w:fill="0F2240"/>
          </w:tcPr>
          <w:p>
            <w:pPr>
              <w:spacing w:before="60" w:after="60" w:line="252" w:lineRule="auto"/>
              <w:jc w:val="center"/>
            </w:pPr>
            <w:r/>
            <w:r>
              <w:rPr>
                <w:rFonts w:ascii="Times New Roman" w:hAnsi="Times New Roman"/>
                <w:b/>
                <w:color w:val="FFFFFF"/>
                <w:sz w:val="20"/>
              </w:rPr>
              <w:t>Pruebas Funcionales</w:t>
            </w:r>
          </w:p>
        </w:tc>
        <w:tc>
          <w:tcPr>
            <w:tcW w:type="dxa" w:w="3135"/>
            <w:tcMar>
              <w:top w:w="70" w:type="dxa"/>
              <w:bottom w:w="70" w:type="dxa"/>
              <w:left w:w="90" w:type="dxa"/>
              <w:right w:w="90" w:type="dxa"/>
            </w:tcMar>
            <w:shd w:fill="0F2240"/>
          </w:tcPr>
          <w:p>
            <w:pPr>
              <w:spacing w:before="60" w:after="60" w:line="252" w:lineRule="auto"/>
              <w:jc w:val="center"/>
            </w:pPr>
            <w:r/>
            <w:r>
              <w:rPr>
                <w:rFonts w:ascii="Times New Roman" w:hAnsi="Times New Roman"/>
                <w:b/>
                <w:color w:val="FFFFFF"/>
                <w:sz w:val="20"/>
              </w:rPr>
              <w:t>Pruebas No Funcionales</w:t>
            </w:r>
          </w:p>
        </w:tc>
      </w:tr>
      <w:tr>
        <w:tc>
          <w:tcPr>
            <w:tcW w:type="dxa" w:w="3135"/>
            <w:tcMar>
              <w:top w:w="70" w:type="dxa"/>
              <w:bottom w:w="70" w:type="dxa"/>
              <w:left w:w="90" w:type="dxa"/>
              <w:right w:w="90" w:type="dxa"/>
            </w:tcMar>
            <w:shd w:fill="F7F9FC"/>
          </w:tcPr>
          <w:p>
            <w:pPr>
              <w:spacing w:before="60" w:after="60" w:line="252" w:lineRule="auto"/>
              <w:jc w:val="center"/>
            </w:pPr>
            <w:r/>
            <w:r>
              <w:rPr>
                <w:rFonts w:ascii="Times New Roman" w:hAnsi="Times New Roman"/>
                <w:b/>
                <w:color w:val="232323"/>
                <w:sz w:val="19"/>
              </w:rPr>
              <w:t>Pregunta Fundamental</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¿Qué hace el sistema?</w:t>
              <w:br/>
              <w:t>(Verifica el cumplimiento de requerimientos funcionales y reglas de negocio).</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¿Cómo lo hace el sistema?</w:t>
              <w:br/>
              <w:t>(Evalúa atributos de calidad como velocidad, seguridad y usabilidad).</w:t>
            </w:r>
          </w:p>
        </w:tc>
      </w:tr>
      <w:tr>
        <w:tc>
          <w:tcPr>
            <w:tcW w:type="dxa" w:w="3135"/>
            <w:tcMar>
              <w:top w:w="70" w:type="dxa"/>
              <w:bottom w:w="70" w:type="dxa"/>
              <w:left w:w="90" w:type="dxa"/>
              <w:right w:w="90" w:type="dxa"/>
            </w:tcMar>
          </w:tcPr>
          <w:p>
            <w:pPr>
              <w:spacing w:before="60" w:after="60" w:line="252" w:lineRule="auto"/>
              <w:jc w:val="center"/>
            </w:pPr>
            <w:r/>
            <w:r>
              <w:rPr>
                <w:rFonts w:ascii="Times New Roman" w:hAnsi="Times New Roman"/>
                <w:b/>
                <w:color w:val="232323"/>
                <w:sz w:val="19"/>
              </w:rPr>
              <w:t>Objetivo Primordial</w:t>
            </w:r>
          </w:p>
        </w:tc>
        <w:tc>
          <w:tcPr>
            <w:tcW w:type="dxa" w:w="3135"/>
            <w:tcMar>
              <w:top w:w="70" w:type="dxa"/>
              <w:bottom w:w="70" w:type="dxa"/>
              <w:left w:w="90" w:type="dxa"/>
              <w:right w:w="90" w:type="dxa"/>
            </w:tcMar>
          </w:tcPr>
          <w:p>
            <w:pPr>
              <w:spacing w:before="60" w:after="60" w:line="252" w:lineRule="auto"/>
              <w:jc w:val="left"/>
            </w:pPr>
            <w:r/>
            <w:r>
              <w:rPr>
                <w:rFonts w:ascii="Times New Roman" w:hAnsi="Times New Roman"/>
                <w:b w:val="0"/>
                <w:color w:val="232323"/>
                <w:sz w:val="19"/>
              </w:rPr>
              <w:t>Validar entradas y salidas del sistema frente a las especificaciones esperadas.</w:t>
            </w:r>
          </w:p>
        </w:tc>
        <w:tc>
          <w:tcPr>
            <w:tcW w:type="dxa" w:w="3135"/>
            <w:tcMar>
              <w:top w:w="70" w:type="dxa"/>
              <w:bottom w:w="70" w:type="dxa"/>
              <w:left w:w="90" w:type="dxa"/>
              <w:right w:w="90" w:type="dxa"/>
            </w:tcMar>
          </w:tcPr>
          <w:p>
            <w:pPr>
              <w:spacing w:before="60" w:after="60" w:line="252" w:lineRule="auto"/>
              <w:jc w:val="left"/>
            </w:pPr>
            <w:r/>
            <w:r>
              <w:rPr>
                <w:rFonts w:ascii="Times New Roman" w:hAnsi="Times New Roman"/>
                <w:b w:val="0"/>
                <w:color w:val="232323"/>
                <w:sz w:val="19"/>
              </w:rPr>
              <w:t>Asegurar la estabilidad, experiencia de usuario y resiliencia en condiciones reales.</w:t>
            </w:r>
          </w:p>
        </w:tc>
      </w:tr>
      <w:tr>
        <w:tc>
          <w:tcPr>
            <w:tcW w:type="dxa" w:w="3135"/>
            <w:tcMar>
              <w:top w:w="70" w:type="dxa"/>
              <w:bottom w:w="70" w:type="dxa"/>
              <w:left w:w="90" w:type="dxa"/>
              <w:right w:w="90" w:type="dxa"/>
            </w:tcMar>
            <w:shd w:fill="F7F9FC"/>
          </w:tcPr>
          <w:p>
            <w:pPr>
              <w:spacing w:before="60" w:after="60" w:line="252" w:lineRule="auto"/>
              <w:jc w:val="center"/>
            </w:pPr>
            <w:r/>
            <w:r>
              <w:rPr>
                <w:rFonts w:ascii="Times New Roman" w:hAnsi="Times New Roman"/>
                <w:b/>
                <w:color w:val="232323"/>
                <w:sz w:val="19"/>
              </w:rPr>
              <w:t>Base de Especificación</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Casos de uso, historias de usuario, requerimientos funcionales del cliente.</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Atributos de calidad (ISO/IEC 25010), SLAs (Acuerdos de Nivel de Servicio) y normativas de seguridad.</w:t>
            </w:r>
          </w:p>
        </w:tc>
      </w:tr>
      <w:tr>
        <w:tc>
          <w:tcPr>
            <w:tcW w:type="dxa" w:w="3135"/>
            <w:tcMar>
              <w:top w:w="70" w:type="dxa"/>
              <w:bottom w:w="70" w:type="dxa"/>
              <w:left w:w="90" w:type="dxa"/>
              <w:right w:w="90" w:type="dxa"/>
            </w:tcMar>
          </w:tcPr>
          <w:p>
            <w:pPr>
              <w:spacing w:before="60" w:after="60" w:line="252" w:lineRule="auto"/>
              <w:jc w:val="center"/>
            </w:pPr>
            <w:r/>
            <w:r>
              <w:rPr>
                <w:rFonts w:ascii="Times New Roman" w:hAnsi="Times New Roman"/>
                <w:b/>
                <w:color w:val="232323"/>
                <w:sz w:val="19"/>
              </w:rPr>
              <w:t>Técnicas Comunes</w:t>
            </w:r>
          </w:p>
        </w:tc>
        <w:tc>
          <w:tcPr>
            <w:tcW w:type="dxa" w:w="3135"/>
            <w:tcMar>
              <w:top w:w="70" w:type="dxa"/>
              <w:bottom w:w="70" w:type="dxa"/>
              <w:left w:w="90" w:type="dxa"/>
              <w:right w:w="90" w:type="dxa"/>
            </w:tcMar>
          </w:tcPr>
          <w:p>
            <w:pPr>
              <w:spacing w:before="60" w:after="60" w:line="252" w:lineRule="auto"/>
              <w:jc w:val="left"/>
            </w:pPr>
            <w:r/>
            <w:r>
              <w:rPr>
                <w:rFonts w:ascii="Times New Roman" w:hAnsi="Times New Roman"/>
                <w:b w:val="0"/>
                <w:color w:val="232323"/>
                <w:sz w:val="19"/>
              </w:rPr>
              <w:t>Partición de equivalencia, análisis de valores límite, tablas de decisión, pruebas unitarias.</w:t>
            </w:r>
          </w:p>
        </w:tc>
        <w:tc>
          <w:tcPr>
            <w:tcW w:type="dxa" w:w="3135"/>
            <w:tcMar>
              <w:top w:w="70" w:type="dxa"/>
              <w:bottom w:w="70" w:type="dxa"/>
              <w:left w:w="90" w:type="dxa"/>
              <w:right w:w="90" w:type="dxa"/>
            </w:tcMar>
          </w:tcPr>
          <w:p>
            <w:pPr>
              <w:spacing w:before="60" w:after="60" w:line="252" w:lineRule="auto"/>
              <w:jc w:val="left"/>
            </w:pPr>
            <w:r/>
            <w:r>
              <w:rPr>
                <w:rFonts w:ascii="Times New Roman" w:hAnsi="Times New Roman"/>
                <w:b w:val="0"/>
                <w:color w:val="232323"/>
                <w:sz w:val="19"/>
              </w:rPr>
              <w:t>Pruebas de carga con usuarios virtuales, escaneo de vulnerabilidades, pruebas de estrés térmico/memoria.</w:t>
            </w:r>
          </w:p>
        </w:tc>
      </w:tr>
      <w:tr>
        <w:tc>
          <w:tcPr>
            <w:tcW w:type="dxa" w:w="3135"/>
            <w:tcMar>
              <w:top w:w="70" w:type="dxa"/>
              <w:bottom w:w="70" w:type="dxa"/>
              <w:left w:w="90" w:type="dxa"/>
              <w:right w:w="90" w:type="dxa"/>
            </w:tcMar>
            <w:shd w:fill="F7F9FC"/>
          </w:tcPr>
          <w:p>
            <w:pPr>
              <w:spacing w:before="60" w:after="60" w:line="252" w:lineRule="auto"/>
              <w:jc w:val="center"/>
            </w:pPr>
            <w:r/>
            <w:r>
              <w:rPr>
                <w:rFonts w:ascii="Times New Roman" w:hAnsi="Times New Roman"/>
                <w:b/>
                <w:color w:val="232323"/>
                <w:sz w:val="19"/>
              </w:rPr>
              <w:t>Métricas Típicas</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Tasa de casos aprobados/reprobados, porcentaje de cobertura de código, defectos funcionales.</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Tiempo de respuesta (ms), transacciones por segundo (TPS), tasa de errores HTTP, uso de CPU y RAM.</w:t>
            </w:r>
          </w:p>
        </w:tc>
      </w:tr>
      <w:tr>
        <w:tc>
          <w:tcPr>
            <w:tcW w:type="dxa" w:w="3135"/>
            <w:tcMar>
              <w:top w:w="70" w:type="dxa"/>
              <w:bottom w:w="70" w:type="dxa"/>
              <w:left w:w="90" w:type="dxa"/>
              <w:right w:w="90" w:type="dxa"/>
            </w:tcMar>
          </w:tcPr>
          <w:p>
            <w:pPr>
              <w:spacing w:before="60" w:after="60" w:line="252" w:lineRule="auto"/>
              <w:jc w:val="center"/>
            </w:pPr>
            <w:r/>
            <w:r>
              <w:rPr>
                <w:rFonts w:ascii="Times New Roman" w:hAnsi="Times New Roman"/>
                <w:b/>
                <w:color w:val="232323"/>
                <w:sz w:val="19"/>
              </w:rPr>
              <w:t>Ejecución Manual</w:t>
            </w:r>
          </w:p>
        </w:tc>
        <w:tc>
          <w:tcPr>
            <w:tcW w:type="dxa" w:w="3135"/>
            <w:tcMar>
              <w:top w:w="70" w:type="dxa"/>
              <w:bottom w:w="70" w:type="dxa"/>
              <w:left w:w="90" w:type="dxa"/>
              <w:right w:w="90" w:type="dxa"/>
            </w:tcMar>
          </w:tcPr>
          <w:p>
            <w:pPr>
              <w:spacing w:before="60" w:after="60" w:line="252" w:lineRule="auto"/>
              <w:jc w:val="left"/>
            </w:pPr>
            <w:r/>
            <w:r>
              <w:rPr>
                <w:rFonts w:ascii="Times New Roman" w:hAnsi="Times New Roman"/>
                <w:b w:val="0"/>
                <w:color w:val="232323"/>
                <w:sz w:val="19"/>
              </w:rPr>
              <w:t>Frecuente y viable tanto de forma manual como automatizada mediante scripts.</w:t>
            </w:r>
          </w:p>
        </w:tc>
        <w:tc>
          <w:tcPr>
            <w:tcW w:type="dxa" w:w="3135"/>
            <w:tcMar>
              <w:top w:w="70" w:type="dxa"/>
              <w:bottom w:w="70" w:type="dxa"/>
              <w:left w:w="90" w:type="dxa"/>
              <w:right w:w="90" w:type="dxa"/>
            </w:tcMar>
          </w:tcPr>
          <w:p>
            <w:pPr>
              <w:spacing w:before="60" w:after="60" w:line="252" w:lineRule="auto"/>
              <w:jc w:val="left"/>
            </w:pPr>
            <w:r/>
            <w:r>
              <w:rPr>
                <w:rFonts w:ascii="Times New Roman" w:hAnsi="Times New Roman"/>
                <w:b w:val="0"/>
                <w:color w:val="232323"/>
                <w:sz w:val="19"/>
              </w:rPr>
              <w:t>Compleja de simular manualmente; requiere herramientas especializadas (ej. JMeter, k6, ZAP).</w:t>
            </w:r>
          </w:p>
        </w:tc>
      </w:tr>
      <w:tr>
        <w:tc>
          <w:tcPr>
            <w:tcW w:type="dxa" w:w="3135"/>
            <w:tcMar>
              <w:top w:w="70" w:type="dxa"/>
              <w:bottom w:w="70" w:type="dxa"/>
              <w:left w:w="90" w:type="dxa"/>
              <w:right w:w="90" w:type="dxa"/>
            </w:tcMar>
            <w:shd w:fill="F7F9FC"/>
          </w:tcPr>
          <w:p>
            <w:pPr>
              <w:spacing w:before="60" w:after="60" w:line="252" w:lineRule="auto"/>
              <w:jc w:val="center"/>
            </w:pPr>
            <w:r/>
            <w:r>
              <w:rPr>
                <w:rFonts w:ascii="Times New Roman" w:hAnsi="Times New Roman"/>
                <w:b/>
                <w:color w:val="232323"/>
                <w:sz w:val="19"/>
              </w:rPr>
              <w:t>Momento Típico de Inicio</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Desde las etapas tempranas de codificación (pruebas unitarias y de módulo).</w:t>
            </w:r>
          </w:p>
        </w:tc>
        <w:tc>
          <w:tcPr>
            <w:tcW w:type="dxa" w:w="3135"/>
            <w:tcMar>
              <w:top w:w="70" w:type="dxa"/>
              <w:bottom w:w="70" w:type="dxa"/>
              <w:left w:w="90" w:type="dxa"/>
              <w:right w:w="90" w:type="dxa"/>
            </w:tcMar>
            <w:shd w:fill="F7F9FC"/>
          </w:tcPr>
          <w:p>
            <w:pPr>
              <w:spacing w:before="60" w:after="60" w:line="252" w:lineRule="auto"/>
              <w:jc w:val="left"/>
            </w:pPr>
            <w:r/>
            <w:r>
              <w:rPr>
                <w:rFonts w:ascii="Times New Roman" w:hAnsi="Times New Roman"/>
                <w:b w:val="0"/>
                <w:color w:val="232323"/>
                <w:sz w:val="19"/>
              </w:rPr>
              <w:t>Frecuentemente tras contar con módulos integrados, aunque la seguridad y rendimiento se perfilan desde la arquitectura.</w:t>
            </w:r>
          </w:p>
        </w:tc>
      </w:tr>
    </w:tbl>
    <w:p>
      <w:pPr>
        <w:spacing w:after="80"/>
      </w:pPr>
    </w:p>
    <w:p>
      <w:pPr>
        <w:keepNext/>
        <w:spacing w:before="200" w:after="60"/>
      </w:pPr>
      <w:r>
        <w:rPr>
          <w:rFonts w:ascii="Times New Roman" w:hAnsi="Times New Roman"/>
          <w:b/>
          <w:color w:val="0F2240"/>
          <w:sz w:val="24"/>
        </w:rPr>
        <w:t>1.2. Registro y Seguimiento de Defectos (Defect Tracking)</w:t>
      </w:r>
    </w:p>
    <w:p>
      <w:pPr>
        <w:spacing w:before="0" w:after="100" w:line="276" w:lineRule="auto"/>
        <w:jc w:val="both"/>
      </w:pPr>
      <w:r>
        <w:rPr>
          <w:rFonts w:ascii="Times New Roman" w:hAnsi="Times New Roman"/>
          <w:color w:val="232323"/>
          <w:sz w:val="24"/>
        </w:rPr>
        <w:t>¿Qué es un defecto en software? De acuerdo con la terminología estandarizada del glosario IEEE Std 829 y el estándar ISO/IEC 24765 [1], [6], es crucial distinguir tres conceptos íntimamente relacionados pero conceptualmente distintos:</w:t>
      </w:r>
    </w:p>
    <w:p>
      <w:pPr>
        <w:pStyle w:val="ListBullet"/>
        <w:spacing w:before="0" w:after="60" w:line="276" w:lineRule="auto"/>
        <w:jc w:val="both"/>
      </w:pPr>
      <w:r>
        <w:rPr>
          <w:rFonts w:ascii="Times New Roman" w:hAnsi="Times New Roman"/>
          <w:b/>
          <w:color w:val="232323"/>
          <w:sz w:val="24"/>
        </w:rPr>
        <w:t>Error (Error / Mistake):</w:t>
      </w:r>
      <w:r>
        <w:rPr>
          <w:rFonts w:ascii="Times New Roman" w:hAnsi="Times New Roman"/>
          <w:color w:val="232323"/>
          <w:sz w:val="24"/>
        </w:rPr>
        <w:t xml:space="preserve"> Es una acción humana equivocada cometida por un analista, diseñador o programador (por ejemplo, una mala interpretación de una regla de cálculo fiscal o un error tipográfico en la lógica condicional).</w:t>
      </w:r>
    </w:p>
    <w:p>
      <w:pPr>
        <w:pStyle w:val="ListBullet"/>
        <w:spacing w:before="0" w:after="60" w:line="276" w:lineRule="auto"/>
        <w:jc w:val="both"/>
      </w:pPr>
      <w:r>
        <w:rPr>
          <w:rFonts w:ascii="Times New Roman" w:hAnsi="Times New Roman"/>
          <w:b/>
          <w:color w:val="232323"/>
          <w:sz w:val="24"/>
        </w:rPr>
        <w:t>Defecto o Bug (Fault / Defect):</w:t>
      </w:r>
      <w:r>
        <w:rPr>
          <w:rFonts w:ascii="Times New Roman" w:hAnsi="Times New Roman"/>
          <w:color w:val="232323"/>
          <w:sz w:val="24"/>
        </w:rPr>
        <w:t xml:space="preserve"> Es la manifestación estática del error en el artefacto de software (código fuente, scripts de base de datos o documentación de diseño). Constituye una imperfección interna que tiene el potencial de provocar una falla cuando se ejecuta la ruta afectada.</w:t>
      </w:r>
    </w:p>
    <w:p>
      <w:pPr>
        <w:pStyle w:val="ListBullet"/>
        <w:spacing w:before="0" w:after="60" w:line="276" w:lineRule="auto"/>
        <w:jc w:val="both"/>
      </w:pPr>
      <w:r>
        <w:rPr>
          <w:rFonts w:ascii="Times New Roman" w:hAnsi="Times New Roman"/>
          <w:b/>
          <w:color w:val="232323"/>
          <w:sz w:val="24"/>
        </w:rPr>
        <w:t>Fallo o Falla (Failure):</w:t>
      </w:r>
      <w:r>
        <w:rPr>
          <w:rFonts w:ascii="Times New Roman" w:hAnsi="Times New Roman"/>
          <w:color w:val="232323"/>
          <w:sz w:val="24"/>
        </w:rPr>
        <w:t xml:space="preserve"> Es la discrepancia dinámica visible entre el comportamiento observado del sistema durante su ejecución y el comportamiento especificado en los requerimientos. Ocurre cuando el flujo de control del programa alcanza y activa el defecto en tiempo de ejecución.</w:t>
      </w:r>
    </w:p>
    <w:p>
      <w:pPr>
        <w:spacing w:before="0" w:after="100" w:line="276" w:lineRule="auto"/>
        <w:jc w:val="both"/>
      </w:pPr>
      <w:r>
        <w:rPr>
          <w:rFonts w:ascii="Times New Roman" w:hAnsi="Times New Roman"/>
          <w:color w:val="232323"/>
          <w:sz w:val="24"/>
        </w:rPr>
        <w:t>Etapas del ciclo de vida de un defecto (Bug Life Cycle): El ciclo de vida de un defecto describe la secuencia formal de estados y transiciones por los que transita una anomalía desde que es detectada por primera vez hasta que se verifica su solución y se archiva de manera concluyente [5], [6]. Los estados típicos en los flujos de ingeniería de software son:</w:t>
      </w:r>
    </w:p>
    <w:p>
      <w:pPr>
        <w:pStyle w:val="ListBullet"/>
        <w:spacing w:before="0" w:after="60" w:line="276" w:lineRule="auto"/>
        <w:jc w:val="both"/>
      </w:pPr>
      <w:r>
        <w:rPr>
          <w:rFonts w:ascii="Times New Roman" w:hAnsi="Times New Roman"/>
          <w:b/>
          <w:color w:val="232323"/>
          <w:sz w:val="24"/>
        </w:rPr>
        <w:t>1. Nuevo (New):</w:t>
      </w:r>
      <w:r>
        <w:rPr>
          <w:rFonts w:ascii="Times New Roman" w:hAnsi="Times New Roman"/>
          <w:color w:val="232323"/>
          <w:sz w:val="24"/>
        </w:rPr>
        <w:t xml:space="preserve"> El tester o usuario descubre una discrepancia, reúne las evidencias (capturas, logs, pasos de reproducción) y la registra en la herramienta.</w:t>
      </w:r>
    </w:p>
    <w:p>
      <w:pPr>
        <w:pStyle w:val="ListBullet"/>
        <w:spacing w:before="0" w:after="60" w:line="276" w:lineRule="auto"/>
        <w:jc w:val="both"/>
      </w:pPr>
      <w:r>
        <w:rPr>
          <w:rFonts w:ascii="Times New Roman" w:hAnsi="Times New Roman"/>
          <w:b/>
          <w:color w:val="232323"/>
          <w:sz w:val="24"/>
        </w:rPr>
        <w:t>2. Asignado (Assigned):</w:t>
      </w:r>
      <w:r>
        <w:rPr>
          <w:rFonts w:ascii="Times New Roman" w:hAnsi="Times New Roman"/>
          <w:color w:val="232323"/>
          <w:sz w:val="24"/>
        </w:rPr>
        <w:t xml:space="preserve"> El líder de QA o el gestor de proyecto revisa el reporte, valida su legitimidad, asigna severidad/prioridad y lo turna al desarrollador correspondiente.</w:t>
      </w:r>
    </w:p>
    <w:p>
      <w:pPr>
        <w:pStyle w:val="ListBullet"/>
        <w:spacing w:before="0" w:after="60" w:line="276" w:lineRule="auto"/>
        <w:jc w:val="both"/>
      </w:pPr>
      <w:r>
        <w:rPr>
          <w:rFonts w:ascii="Times New Roman" w:hAnsi="Times New Roman"/>
          <w:b/>
          <w:color w:val="232323"/>
          <w:sz w:val="24"/>
        </w:rPr>
        <w:t>3. Abierto / En Progreso (Open / In Progress):</w:t>
      </w:r>
      <w:r>
        <w:rPr>
          <w:rFonts w:ascii="Times New Roman" w:hAnsi="Times New Roman"/>
          <w:color w:val="232323"/>
          <w:sz w:val="24"/>
        </w:rPr>
        <w:t xml:space="preserve"> El desarrollador asignado investiga el defecto, reproduce el comportamiento en su entorno local y analiza la causa raíz del problema.</w:t>
      </w:r>
    </w:p>
    <w:p>
      <w:pPr>
        <w:pStyle w:val="ListBullet"/>
        <w:spacing w:before="0" w:after="60" w:line="276" w:lineRule="auto"/>
        <w:jc w:val="both"/>
      </w:pPr>
      <w:r>
        <w:rPr>
          <w:rFonts w:ascii="Times New Roman" w:hAnsi="Times New Roman"/>
          <w:b/>
          <w:color w:val="232323"/>
          <w:sz w:val="24"/>
        </w:rPr>
        <w:t>4. Resuelto / Corregido (Fixed / Resolved):</w:t>
      </w:r>
      <w:r>
        <w:rPr>
          <w:rFonts w:ascii="Times New Roman" w:hAnsi="Times New Roman"/>
          <w:color w:val="232323"/>
          <w:sz w:val="24"/>
        </w:rPr>
        <w:t xml:space="preserve"> El programador implementa la corrección en el código, añade o actualiza pruebas unitarias para prevenir regresiones y despliega el cambio al entorno de pruebas.</w:t>
      </w:r>
    </w:p>
    <w:p>
      <w:pPr>
        <w:pStyle w:val="ListBullet"/>
        <w:spacing w:before="0" w:after="60" w:line="276" w:lineRule="auto"/>
        <w:jc w:val="both"/>
      </w:pPr>
      <w:r>
        <w:rPr>
          <w:rFonts w:ascii="Times New Roman" w:hAnsi="Times New Roman"/>
          <w:b/>
          <w:color w:val="232323"/>
          <w:sz w:val="24"/>
        </w:rPr>
        <w:t>5. En Espera de Retest (Pending Retest):</w:t>
      </w:r>
      <w:r>
        <w:rPr>
          <w:rFonts w:ascii="Times New Roman" w:hAnsi="Times New Roman"/>
          <w:color w:val="232323"/>
          <w:sz w:val="24"/>
        </w:rPr>
        <w:t xml:space="preserve"> La corrección se encuentra lista y disponible en el ambiente de aseguramiento de calidad para que el equipo de pruebas verifique el parche.</w:t>
      </w:r>
    </w:p>
    <w:p>
      <w:pPr>
        <w:pStyle w:val="ListBullet"/>
        <w:spacing w:before="0" w:after="60" w:line="276" w:lineRule="auto"/>
        <w:jc w:val="both"/>
      </w:pPr>
      <w:r>
        <w:rPr>
          <w:rFonts w:ascii="Times New Roman" w:hAnsi="Times New Roman"/>
          <w:b/>
          <w:color w:val="232323"/>
          <w:sz w:val="24"/>
        </w:rPr>
        <w:t>6. Re-evaluación (Retest / Testing):</w:t>
      </w:r>
      <w:r>
        <w:rPr>
          <w:rFonts w:ascii="Times New Roman" w:hAnsi="Times New Roman"/>
          <w:color w:val="232323"/>
          <w:sz w:val="24"/>
        </w:rPr>
        <w:t xml:space="preserve"> El tester ejecuta nuevamente los pasos de reproducción sobre la versión corregida para comprobar si la anomalía desapareció.</w:t>
      </w:r>
    </w:p>
    <w:p>
      <w:pPr>
        <w:pStyle w:val="ListBullet"/>
        <w:spacing w:before="0" w:after="60" w:line="276" w:lineRule="auto"/>
        <w:jc w:val="both"/>
      </w:pPr>
      <w:r>
        <w:rPr>
          <w:rFonts w:ascii="Times New Roman" w:hAnsi="Times New Roman"/>
          <w:b/>
          <w:color w:val="232323"/>
          <w:sz w:val="24"/>
        </w:rPr>
        <w:t>7. Cerrado (Closed):</w:t>
      </w:r>
      <w:r>
        <w:rPr>
          <w:rFonts w:ascii="Times New Roman" w:hAnsi="Times New Roman"/>
          <w:color w:val="232323"/>
          <w:sz w:val="24"/>
        </w:rPr>
        <w:t xml:space="preserve"> Al comprobar que la falla ha sido completamente subsanada y no introduce efectos adversos, el estado del defecto pasa a cerrado y documentado.</w:t>
      </w:r>
    </w:p>
    <w:p>
      <w:pPr>
        <w:pStyle w:val="ListBullet"/>
        <w:spacing w:before="0" w:after="60" w:line="276" w:lineRule="auto"/>
        <w:jc w:val="both"/>
      </w:pPr>
      <w:r>
        <w:rPr>
          <w:rFonts w:ascii="Times New Roman" w:hAnsi="Times New Roman"/>
          <w:b/>
          <w:color w:val="232323"/>
          <w:sz w:val="24"/>
        </w:rPr>
        <w:t>8. Reabierto (Reopened):</w:t>
      </w:r>
      <w:r>
        <w:rPr>
          <w:rFonts w:ascii="Times New Roman" w:hAnsi="Times New Roman"/>
          <w:color w:val="232323"/>
          <w:sz w:val="24"/>
        </w:rPr>
        <w:t xml:space="preserve"> Si durante la re-evaluación el defecto persiste o la solución fue parcial, el ticket regresa al estado de abierto con nuevas anotaciones técnicas.</w:t>
      </w:r>
    </w:p>
    <w:p>
      <w:pPr>
        <w:pStyle w:val="ListBullet"/>
        <w:spacing w:before="0" w:after="60" w:line="276" w:lineRule="auto"/>
        <w:jc w:val="both"/>
      </w:pPr>
      <w:r>
        <w:rPr>
          <w:rFonts w:ascii="Times New Roman" w:hAnsi="Times New Roman"/>
          <w:b/>
          <w:color w:val="232323"/>
          <w:sz w:val="24"/>
        </w:rPr>
        <w:t>Estados Alternos:</w:t>
      </w:r>
      <w:r>
        <w:rPr>
          <w:rFonts w:ascii="Times New Roman" w:hAnsi="Times New Roman"/>
          <w:color w:val="232323"/>
          <w:sz w:val="24"/>
        </w:rPr>
        <w:t xml:space="preserve"> Rechazado (Rejected / Not a Bug, cuando el sistema funciona según lo diseñado), Duplicado (Duplicate, si ya existía un reporte previo) o Diferido (Deferred, cuando se pospone su resolución a un sprint futuro por baja prioridad).</w:t>
      </w:r>
    </w:p>
    <w:p>
      <w:pPr>
        <w:spacing w:before="0" w:after="100" w:line="276" w:lineRule="auto"/>
        <w:jc w:val="both"/>
      </w:pPr>
      <w:r>
        <w:rPr>
          <w:rFonts w:ascii="Times New Roman" w:hAnsi="Times New Roman"/>
          <w:color w:val="232323"/>
          <w:sz w:val="24"/>
        </w:rPr>
        <w:t>Herramientas comunes para gestionar defectos: La gestión moderna de incidencias requiere plataformas que centralicen la trazabilidad, asignación de responsabilidades, categorización por severidad y comunicación interdisciplinaria entre desarrollo, operaciones y control de calidad [5]. Entre las más representativas destacan:</w:t>
      </w:r>
    </w:p>
    <w:p>
      <w:pPr>
        <w:pStyle w:val="ListBullet"/>
        <w:spacing w:before="0" w:after="60" w:line="276" w:lineRule="auto"/>
        <w:jc w:val="both"/>
      </w:pPr>
      <w:r>
        <w:rPr>
          <w:rFonts w:ascii="Times New Roman" w:hAnsi="Times New Roman"/>
          <w:b/>
          <w:color w:val="232323"/>
          <w:sz w:val="24"/>
        </w:rPr>
        <w:t>Jira (Atlassian):</w:t>
      </w:r>
      <w:r>
        <w:rPr>
          <w:rFonts w:ascii="Times New Roman" w:hAnsi="Times New Roman"/>
          <w:color w:val="232323"/>
          <w:sz w:val="24"/>
        </w:rPr>
        <w:t xml:space="preserve"> El estándar de facto en entornos corporativos ágiles (Scrum y Kanban). Permite la configuración detallada de flujos de trabajo personalizados, campos obligatorios para reproducción, niveles de severidad/prioridad, estimación de esfuerzos e integración directa con repositorios Git (GitHub, GitLab, Bitbucket) y pipelines de CI/CD.</w:t>
      </w:r>
    </w:p>
    <w:p>
      <w:pPr>
        <w:pStyle w:val="ListBullet"/>
        <w:spacing w:before="0" w:after="60" w:line="276" w:lineRule="auto"/>
        <w:jc w:val="both"/>
      </w:pPr>
      <w:r>
        <w:rPr>
          <w:rFonts w:ascii="Times New Roman" w:hAnsi="Times New Roman"/>
          <w:b/>
          <w:color w:val="232323"/>
          <w:sz w:val="24"/>
        </w:rPr>
        <w:t>Bugzilla (Mozilla):</w:t>
      </w:r>
      <w:r>
        <w:rPr>
          <w:rFonts w:ascii="Times New Roman" w:hAnsi="Times New Roman"/>
          <w:color w:val="232323"/>
          <w:sz w:val="24"/>
        </w:rPr>
        <w:t xml:space="preserve"> Una de las herramientas de código abierto más veteranas, robustas y confiables para el seguimiento riguroso de errores. Destaca por su potente motor de búsqueda avanzada, auditoría completa de cambios mediante correo electrónico y soporte estricto para jerarquías de dependencias entre bugs.</w:t>
      </w:r>
    </w:p>
    <w:p>
      <w:pPr>
        <w:pStyle w:val="ListBullet"/>
        <w:spacing w:before="0" w:after="60" w:line="276" w:lineRule="auto"/>
        <w:jc w:val="both"/>
      </w:pPr>
      <w:r>
        <w:rPr>
          <w:rFonts w:ascii="Times New Roman" w:hAnsi="Times New Roman"/>
          <w:b/>
          <w:color w:val="232323"/>
          <w:sz w:val="24"/>
        </w:rPr>
        <w:t>TestLink:</w:t>
      </w:r>
      <w:r>
        <w:rPr>
          <w:rFonts w:ascii="Times New Roman" w:hAnsi="Times New Roman"/>
          <w:color w:val="232323"/>
          <w:sz w:val="24"/>
        </w:rPr>
        <w:t xml:space="preserve"> Sistema web de gestión de pruebas (Test Management System) enfocado primordialmente en la administración de planes de prueba, suites y casos de prueba. Aunque su núcleo es el diseño de pruebas, se integra de forma bidireccional con rastreadores de incidencias como Jira, Bugzilla y Redmine para trazar casos de prueba con defectos.</w:t>
      </w:r>
    </w:p>
    <w:p>
      <w:pPr>
        <w:pStyle w:val="ListBullet"/>
        <w:spacing w:before="0" w:after="60" w:line="276" w:lineRule="auto"/>
        <w:jc w:val="both"/>
      </w:pPr>
      <w:r>
        <w:rPr>
          <w:rFonts w:ascii="Times New Roman" w:hAnsi="Times New Roman"/>
          <w:b/>
          <w:color w:val="232323"/>
          <w:sz w:val="24"/>
        </w:rPr>
        <w:t>GitHub Issues / GitLab Issues:</w:t>
      </w:r>
      <w:r>
        <w:rPr>
          <w:rFonts w:ascii="Times New Roman" w:hAnsi="Times New Roman"/>
          <w:color w:val="232323"/>
          <w:sz w:val="24"/>
        </w:rPr>
        <w:t xml:space="preserve"> Soluciones nativas de gestión integradas en los propios repositorios de código. Facilitan vincular un defecto directamente con ramas de trabajo, Pull Requests y commits específicos (ej. "fixes #142"), posibilitando el cierre automático del ticket una vez que el código corregido es integrado a la rama principal.</w:t>
      </w:r>
    </w:p>
    <w:p>
      <w:pPr>
        <w:keepNext/>
        <w:spacing w:before="200" w:after="60"/>
      </w:pPr>
      <w:r>
        <w:rPr>
          <w:rFonts w:ascii="Times New Roman" w:hAnsi="Times New Roman"/>
          <w:b/>
          <w:color w:val="0F2240"/>
          <w:sz w:val="24"/>
        </w:rPr>
        <w:t>1.3. Pruebas de Regresión (Regression Testing)</w:t>
      </w:r>
    </w:p>
    <w:p>
      <w:pPr>
        <w:spacing w:before="0" w:after="100" w:line="276" w:lineRule="auto"/>
        <w:jc w:val="both"/>
      </w:pPr>
      <w:r>
        <w:rPr>
          <w:rFonts w:ascii="Times New Roman" w:hAnsi="Times New Roman"/>
          <w:color w:val="232323"/>
          <w:sz w:val="24"/>
        </w:rPr>
        <w:t>Objetivo y cuándo se aplican: El propósito primordial de las pruebas de regresión consiste en verificar que las modificaciones recientes introducidas en el software —tales como la adición de nuevas características, la optimización de código, parches de seguridad, refactorizaciones o la corrección de un bug— no hayan provocado efectos colaterales indeseados ni hayan corrompido funcionalidades existentes que previamente operaban de manera correcta [1], [4].</w:t>
      </w:r>
    </w:p>
    <w:p>
      <w:pPr>
        <w:spacing w:before="0" w:after="100" w:line="276" w:lineRule="auto"/>
        <w:jc w:val="both"/>
      </w:pPr>
      <w:r>
        <w:rPr>
          <w:rFonts w:ascii="Times New Roman" w:hAnsi="Times New Roman"/>
          <w:color w:val="232323"/>
          <w:sz w:val="24"/>
        </w:rPr>
        <w:t>Las pruebas de regresión se deben aplicar de manera disciplinada en situaciones clave del ciclo de vida del software:</w:t>
      </w:r>
    </w:p>
    <w:p>
      <w:pPr>
        <w:pStyle w:val="ListBullet"/>
        <w:spacing w:before="0" w:after="60" w:line="276" w:lineRule="auto"/>
        <w:jc w:val="both"/>
      </w:pPr>
      <w:r>
        <w:rPr>
          <w:rFonts w:ascii="Times New Roman" w:hAnsi="Times New Roman"/>
          <w:b/>
          <w:color w:val="232323"/>
          <w:sz w:val="24"/>
        </w:rPr>
        <w:t>a) Tras la corrección de un defecto:</w:t>
      </w:r>
      <w:r>
        <w:rPr>
          <w:rFonts w:ascii="Times New Roman" w:hAnsi="Times New Roman"/>
          <w:color w:val="232323"/>
          <w:sz w:val="24"/>
        </w:rPr>
        <w:t xml:space="preserve"> Para asegurar que la modificación aplicada no quebrantó otra rutina vinculada directa o indirectamente.</w:t>
      </w:r>
    </w:p>
    <w:p>
      <w:pPr>
        <w:pStyle w:val="ListBullet"/>
        <w:spacing w:before="0" w:after="60" w:line="276" w:lineRule="auto"/>
        <w:jc w:val="both"/>
      </w:pPr>
      <w:r>
        <w:rPr>
          <w:rFonts w:ascii="Times New Roman" w:hAnsi="Times New Roman"/>
          <w:b/>
          <w:color w:val="232323"/>
          <w:sz w:val="24"/>
        </w:rPr>
        <w:t>b) Al incorporar nuevas funcionalidades:</w:t>
      </w:r>
      <w:r>
        <w:rPr>
          <w:rFonts w:ascii="Times New Roman" w:hAnsi="Times New Roman"/>
          <w:color w:val="232323"/>
          <w:sz w:val="24"/>
        </w:rPr>
        <w:t xml:space="preserve"> Para garantizar que los nuevos módulos o endpoints no alteren los flujos comerciales o de autenticación ya consolidados.</w:t>
      </w:r>
    </w:p>
    <w:p>
      <w:pPr>
        <w:pStyle w:val="ListBullet"/>
        <w:spacing w:before="0" w:after="60" w:line="276" w:lineRule="auto"/>
        <w:jc w:val="both"/>
      </w:pPr>
      <w:r>
        <w:rPr>
          <w:rFonts w:ascii="Times New Roman" w:hAnsi="Times New Roman"/>
          <w:b/>
          <w:color w:val="232323"/>
          <w:sz w:val="24"/>
        </w:rPr>
        <w:t>c) Tras refactorizaciones arquitectónicas:</w:t>
      </w:r>
      <w:r>
        <w:rPr>
          <w:rFonts w:ascii="Times New Roman" w:hAnsi="Times New Roman"/>
          <w:color w:val="232323"/>
          <w:sz w:val="24"/>
        </w:rPr>
        <w:t xml:space="preserve"> Al reestructurar clases, funciones o modelos de datos para mejorar su limpieza y eficiencia interna.</w:t>
      </w:r>
    </w:p>
    <w:p>
      <w:pPr>
        <w:pStyle w:val="ListBullet"/>
        <w:spacing w:before="0" w:after="60" w:line="276" w:lineRule="auto"/>
        <w:jc w:val="both"/>
      </w:pPr>
      <w:r>
        <w:rPr>
          <w:rFonts w:ascii="Times New Roman" w:hAnsi="Times New Roman"/>
          <w:b/>
          <w:color w:val="232323"/>
          <w:sz w:val="24"/>
        </w:rPr>
        <w:t>d) Al actualizar dependencias o infraestructura:</w:t>
      </w:r>
      <w:r>
        <w:rPr>
          <w:rFonts w:ascii="Times New Roman" w:hAnsi="Times New Roman"/>
          <w:color w:val="232323"/>
          <w:sz w:val="24"/>
        </w:rPr>
        <w:t xml:space="preserve"> Cuando se migra a una versión superior de lenguaje (ej. Python 3.12 a 3.13), motor de base de datos o librerías del framework.</w:t>
      </w:r>
    </w:p>
    <w:p>
      <w:pPr>
        <w:pStyle w:val="ListBullet"/>
        <w:spacing w:before="0" w:after="60" w:line="276" w:lineRule="auto"/>
        <w:jc w:val="both"/>
      </w:pPr>
      <w:r>
        <w:rPr>
          <w:rFonts w:ascii="Times New Roman" w:hAnsi="Times New Roman"/>
          <w:b/>
          <w:color w:val="232323"/>
          <w:sz w:val="24"/>
        </w:rPr>
        <w:t>e) En cada integración y entrega continua (CI/CD):</w:t>
      </w:r>
      <w:r>
        <w:rPr>
          <w:rFonts w:ascii="Times New Roman" w:hAnsi="Times New Roman"/>
          <w:color w:val="232323"/>
          <w:sz w:val="24"/>
        </w:rPr>
        <w:t xml:space="preserve"> Ejecutadas automáticamente ante cada solicitud de fusión (Pull Request) para autorizar despliegues a producción.</w:t>
      </w:r>
    </w:p>
    <w:p>
      <w:pPr>
        <w:keepNext/>
        <w:spacing w:before="140" w:after="40"/>
      </w:pPr>
      <w:r>
        <w:rPr>
          <w:rFonts w:ascii="Times New Roman" w:hAnsi="Times New Roman"/>
          <w:b/>
          <w:color w:val="465A78"/>
          <w:sz w:val="23"/>
        </w:rPr>
        <w:t>Estrategias y Herramientas Utilizadas en Pruebas de Regresión</w:t>
      </w:r>
    </w:p>
    <w:p>
      <w:pPr>
        <w:spacing w:before="0" w:after="100" w:line="276" w:lineRule="auto"/>
        <w:jc w:val="both"/>
      </w:pPr>
      <w:r>
        <w:rPr>
          <w:rFonts w:ascii="Times New Roman" w:hAnsi="Times New Roman"/>
          <w:color w:val="232323"/>
          <w:sz w:val="24"/>
        </w:rPr>
        <w:t>A medida que una base de código evoluciona, el volumen total de casos de prueba puede tornarse masivo, haciendo inviable la ejecución manual periódica. Por ello, la ingeniería de software emplea tres estrategias formales de regresión [4], [5]:</w:t>
      </w:r>
    </w:p>
    <w:p>
      <w:pPr>
        <w:pStyle w:val="ListBullet"/>
        <w:spacing w:before="0" w:after="60" w:line="276" w:lineRule="auto"/>
        <w:jc w:val="both"/>
      </w:pPr>
      <w:r>
        <w:rPr>
          <w:rFonts w:ascii="Times New Roman" w:hAnsi="Times New Roman"/>
          <w:b/>
          <w:color w:val="232323"/>
          <w:sz w:val="24"/>
        </w:rPr>
        <w:t>1. Regresión Total (Retest-All):</w:t>
      </w:r>
      <w:r>
        <w:rPr>
          <w:rFonts w:ascii="Times New Roman" w:hAnsi="Times New Roman"/>
          <w:color w:val="232323"/>
          <w:sz w:val="24"/>
        </w:rPr>
        <w:t xml:space="preserve"> Consiste en reejecutar la totalidad del catálogo de pruebas existente. Es la estrategia más exhaustiva y segura, pero demanda un alto consumo de cómputo y tiempo. Resulta factible principalmente cuando se cuenta con una suite de pruebas unitarias ligeras altamente automatizadas.</w:t>
      </w:r>
    </w:p>
    <w:p>
      <w:pPr>
        <w:pStyle w:val="ListBullet"/>
        <w:spacing w:before="0" w:after="60" w:line="276" w:lineRule="auto"/>
        <w:jc w:val="both"/>
      </w:pPr>
      <w:r>
        <w:rPr>
          <w:rFonts w:ascii="Times New Roman" w:hAnsi="Times New Roman"/>
          <w:b/>
          <w:color w:val="232323"/>
          <w:sz w:val="24"/>
        </w:rPr>
        <w:t>2. Selección de Pruebas de Regresión (Regression Test Selection - RTS):</w:t>
      </w:r>
      <w:r>
        <w:rPr>
          <w:rFonts w:ascii="Times New Roman" w:hAnsi="Times New Roman"/>
          <w:color w:val="232323"/>
          <w:sz w:val="24"/>
        </w:rPr>
        <w:t xml:space="preserve"> Analiza las diferencias en el código fuente (commits/diffs) y determina qué módulos fueron potencialmente impactados. Se seleccionan únicamente los casos de prueba cuyas rutas de ejecución tocan los componentes modificados.</w:t>
      </w:r>
    </w:p>
    <w:p>
      <w:pPr>
        <w:pStyle w:val="ListBullet"/>
        <w:spacing w:before="0" w:after="60" w:line="276" w:lineRule="auto"/>
        <w:jc w:val="both"/>
      </w:pPr>
      <w:r>
        <w:rPr>
          <w:rFonts w:ascii="Times New Roman" w:hAnsi="Times New Roman"/>
          <w:b/>
          <w:color w:val="232323"/>
          <w:sz w:val="24"/>
        </w:rPr>
        <w:t>3. Priorización de Casos de Prueba (Test Case Prioritization - TCP):</w:t>
      </w:r>
      <w:r>
        <w:rPr>
          <w:rFonts w:ascii="Times New Roman" w:hAnsi="Times New Roman"/>
          <w:color w:val="232323"/>
          <w:sz w:val="24"/>
        </w:rPr>
        <w:t xml:space="preserve"> Clasifica los casos de prueba asignándoles un orden de ejecución basado en criterios estratégicos: criticidad de negocio, probabilidad histórica de falla, cobertura de código alcanzada y tiempo de ejecución. Permite descubrir defectos en los primeros minutos de ejecución del pipeline.</w:t>
      </w:r>
    </w:p>
    <w:p>
      <w:pPr>
        <w:spacing w:before="0" w:after="100" w:line="276" w:lineRule="auto"/>
        <w:jc w:val="both"/>
      </w:pPr>
      <w:r>
        <w:rPr>
          <w:rFonts w:ascii="Times New Roman" w:hAnsi="Times New Roman"/>
          <w:color w:val="232323"/>
          <w:sz w:val="24"/>
        </w:rPr>
        <w:t>Herramientas representativas: Frameworks de automatización como Pytest, JUnit, NUnit o TestNG (en capas unitarias y de integración); herramientas de navegación como Selenium WebDriver, Playwright y Cypress (para regresión de interfaces de usuario); y motores de integración continua como GitHub Actions, GitLab CI y Jenkins, encargados de orquestar y bloquear fusiones si algún test de regresión fracasa.</w:t>
      </w:r>
    </w:p>
    <w:p>
      <w:pPr>
        <w:keepNext/>
        <w:spacing w:before="140" w:after="40"/>
      </w:pPr>
      <w:r>
        <w:rPr>
          <w:rFonts w:ascii="Times New Roman" w:hAnsi="Times New Roman"/>
          <w:b/>
          <w:color w:val="465A78"/>
          <w:sz w:val="23"/>
        </w:rPr>
        <w:t>Beneficios y Desafíos de las Pruebas de Regresión</w:t>
      </w:r>
    </w:p>
    <w:p>
      <w:pPr>
        <w:pStyle w:val="ListBullet"/>
        <w:spacing w:before="0" w:after="60" w:line="276" w:lineRule="auto"/>
        <w:jc w:val="both"/>
      </w:pPr>
      <w:r>
        <w:rPr>
          <w:rFonts w:ascii="Times New Roman" w:hAnsi="Times New Roman"/>
          <w:b/>
          <w:color w:val="232323"/>
          <w:sz w:val="24"/>
        </w:rPr>
        <w:t>Beneficios Principales:</w:t>
      </w:r>
      <w:r>
        <w:rPr>
          <w:rFonts w:ascii="Times New Roman" w:hAnsi="Times New Roman"/>
          <w:color w:val="232323"/>
          <w:sz w:val="24"/>
        </w:rPr>
        <w:t xml:space="preserve"> Brindan alta confianza y estabilidad para realizar entregas continuas; reducen drásticamente los costos de reparación al detectar regresiones en etapas tempranas; preservan la integridad histórica del sistema; y posibilitan el refactor audaz del código con una red de seguridad infalible.</w:t>
      </w:r>
    </w:p>
    <w:p>
      <w:pPr>
        <w:pStyle w:val="ListBullet"/>
        <w:spacing w:before="0" w:after="60" w:line="276" w:lineRule="auto"/>
        <w:jc w:val="both"/>
      </w:pPr>
      <w:r>
        <w:rPr>
          <w:rFonts w:ascii="Times New Roman" w:hAnsi="Times New Roman"/>
          <w:b/>
          <w:color w:val="232323"/>
          <w:sz w:val="24"/>
        </w:rPr>
        <w:t>Desafíos Críticos:</w:t>
      </w:r>
      <w:r>
        <w:rPr>
          <w:rFonts w:ascii="Times New Roman" w:hAnsi="Times New Roman"/>
          <w:color w:val="232323"/>
          <w:sz w:val="24"/>
        </w:rPr>
        <w:t xml:space="preserve"> Crecimiento exponencial del tiempo de ejecución conforme el sistema se expande; presencia de pruebas intermitentes o inestables ("Flaky Tests") que fallan por factores ajenos al código (red, latencia de base de datos); y el costo de mantenimiento continuo requerido para sincronizar los scripts de prueba cuando los flujos de negocio son actualizados.</w:t>
      </w:r>
    </w:p>
    <w:p>
      <w:r>
        <w:br w:type="page"/>
      </w:r>
    </w:p>
    <w:p>
      <w:pPr>
        <w:keepNext/>
        <w:spacing w:before="260" w:after="80"/>
      </w:pPr>
      <w:r>
        <w:rPr>
          <w:rFonts w:ascii="Times New Roman" w:hAnsi="Times New Roman"/>
          <w:b/>
          <w:color w:val="0F2240"/>
          <w:sz w:val="27"/>
        </w:rPr>
        <w:t>2. Ejemplos Prácticos Aplicados</w:t>
      </w:r>
    </w:p>
    <w:p>
      <w:pPr>
        <w:spacing w:before="0" w:after="100" w:line="276" w:lineRule="auto"/>
        <w:jc w:val="both"/>
      </w:pPr>
      <w:r>
        <w:rPr>
          <w:rFonts w:ascii="Times New Roman" w:hAnsi="Times New Roman"/>
          <w:color w:val="232323"/>
          <w:sz w:val="24"/>
        </w:rPr>
        <w:t>Para consolidar los conceptos abordados en la investigación teórica, a continuación se describen tres escenarios técnicos detallados que ilustran la aplicación concreta de cada tipo de prueba en proyectos reales y representativos del sector industrial y de desarrollo [2], [4].</w:t>
      </w:r>
    </w:p>
    <w:tbl>
      <w:tblPr>
        <w:tblStyle w:val="TableGrid"/>
        <w:tblW w:type="auto" w:w="0"/>
        <w:jc w:val="center"/>
        <w:tblLook w:firstColumn="1" w:firstRow="1" w:lastColumn="0" w:lastRow="0" w:noHBand="0" w:noVBand="1" w:val="04A0"/>
      </w:tblPr>
      <w:tblGrid>
        <w:gridCol w:w="9406"/>
      </w:tblGrid>
      <w:tr>
        <w:tc>
          <w:tcPr>
            <w:tcW w:type="dxa" w:w="9071"/>
            <w:shd w:fill="F7F9FC"/>
            <w:tcMar>
              <w:top w:w="140" w:type="dxa"/>
              <w:bottom w:w="140" w:type="dxa"/>
              <w:left w:w="200" w:type="dxa"/>
              <w:right w:w="200" w:type="dxa"/>
            </w:tcMar>
            <w:tcBorders>
              <w:top w:val="single" w:sz="6" w:space="0" w:color="C0C8D0"/>
              <w:bottom w:val="single" w:sz="6" w:space="0" w:color="C0C8D0"/>
              <w:left w:val="single" w:sz="6" w:space="0" w:color="C0C8D0"/>
              <w:right w:val="single" w:sz="6" w:space="0" w:color="C0C8D0"/>
            </w:tcBorders>
          </w:tcPr>
          <w:p>
            <w:pPr>
              <w:spacing w:before="40" w:after="100"/>
            </w:pPr>
            <w:r>
              <w:rPr>
                <w:rFonts w:ascii="Times New Roman" w:hAnsi="Times New Roman"/>
                <w:b/>
                <w:color w:val="0F2240"/>
                <w:sz w:val="22"/>
              </w:rPr>
              <w:t xml:space="preserve">■ </w:t>
            </w:r>
            <w:r>
              <w:rPr>
                <w:rFonts w:ascii="Times New Roman" w:hAnsi="Times New Roman"/>
                <w:b/>
                <w:color w:val="0F2240"/>
                <w:sz w:val="22"/>
              </w:rPr>
              <w:t>CASO PRÁCTICO 1: Sistema Bancario Sometido a Pruebas de Rendimiento y Estrés</w:t>
            </w:r>
          </w:p>
          <w:p>
            <w:pPr>
              <w:spacing w:before="20" w:after="60" w:line="276" w:lineRule="auto"/>
              <w:jc w:val="both"/>
            </w:pPr>
            <w:r>
              <w:rPr>
                <w:rFonts w:ascii="Times New Roman" w:hAnsi="Times New Roman"/>
                <w:b/>
                <w:color w:val="232323"/>
                <w:sz w:val="21"/>
              </w:rPr>
              <w:t>Contexto del Sistema:</w:t>
            </w:r>
            <w:r>
              <w:rPr>
                <w:rFonts w:ascii="Times New Roman" w:hAnsi="Times New Roman"/>
                <w:color w:val="232323"/>
                <w:sz w:val="21"/>
              </w:rPr>
              <w:t xml:space="preserve"> Una institución bancaria opera una plataforma digital de transferencias interbancarias (tipo SPEI) y banca móvil que atiende a cientos de miles de cuentahabientes.</w:t>
            </w:r>
          </w:p>
          <w:p>
            <w:pPr>
              <w:spacing w:before="20" w:after="60" w:line="276" w:lineRule="auto"/>
              <w:jc w:val="both"/>
            </w:pPr>
            <w:r>
              <w:rPr>
                <w:rFonts w:ascii="Times New Roman" w:hAnsi="Times New Roman"/>
                <w:b/>
                <w:color w:val="232323"/>
                <w:sz w:val="21"/>
              </w:rPr>
              <w:t>Planteamiento de la Prueba:</w:t>
            </w:r>
            <w:r>
              <w:rPr>
                <w:rFonts w:ascii="Times New Roman" w:hAnsi="Times New Roman"/>
                <w:color w:val="232323"/>
                <w:sz w:val="21"/>
              </w:rPr>
              <w:t xml:space="preserve"> Ante la proximidad del evento comercial del "Buen Fin" y el pago de quincenas, el equipo de aseguramiento de calidad (QA) diseña una prueba de rendimiento y estrés empleando la herramienta Apache JMeter.</w:t>
            </w:r>
          </w:p>
          <w:p>
            <w:pPr>
              <w:spacing w:before="20" w:after="60" w:line="276" w:lineRule="auto"/>
              <w:jc w:val="both"/>
            </w:pPr>
            <w:r>
              <w:rPr>
                <w:rFonts w:ascii="Times New Roman" w:hAnsi="Times New Roman"/>
                <w:b/>
                <w:color w:val="232323"/>
                <w:sz w:val="21"/>
              </w:rPr>
              <w:t>Criterios de Prueba:</w:t>
            </w:r>
            <w:r>
              <w:rPr>
                <w:rFonts w:ascii="Times New Roman" w:hAnsi="Times New Roman"/>
                <w:color w:val="232323"/>
                <w:sz w:val="21"/>
              </w:rPr>
              <w:t xml:space="preserve"> Simular un escenario de carga máxima escalonada con 15,000 usuarios virtuales concurrentes ejecutando consultas de saldo, generación de transferencias y pagos de servicios durante un periodo continuo de 2 horas.</w:t>
            </w:r>
          </w:p>
          <w:p>
            <w:pPr>
              <w:spacing w:before="20" w:after="60" w:line="276" w:lineRule="auto"/>
              <w:jc w:val="both"/>
            </w:pPr>
            <w:r>
              <w:rPr>
                <w:rFonts w:ascii="Times New Roman" w:hAnsi="Times New Roman"/>
                <w:b/>
                <w:color w:val="232323"/>
                <w:sz w:val="21"/>
              </w:rPr>
              <w:t>Hallazgo Crítico:</w:t>
            </w:r>
            <w:r>
              <w:rPr>
                <w:rFonts w:ascii="Times New Roman" w:hAnsi="Times New Roman"/>
                <w:color w:val="232323"/>
                <w:sz w:val="21"/>
              </w:rPr>
              <w:t xml:space="preserve"> A los 8,500 usuarios concurrentes, el tiempo de respuesta promedio de las transferencias se degradó de 250 milisegundos a 18.2 segundos. Al alcanzar los 11,000 usuarios, el servidor comenzó a arrojar errores HTTP 504 (Gateway Timeout) y se observó un bloqueo mutuo (deadlock) en la tabla transaccional de cuentas bancarias por contención en el pool de conexiones de la base de datos relacional.</w:t>
            </w:r>
          </w:p>
          <w:p>
            <w:pPr>
              <w:spacing w:before="20" w:after="60" w:line="276" w:lineRule="auto"/>
              <w:jc w:val="both"/>
            </w:pPr>
            <w:r>
              <w:rPr>
                <w:rFonts w:ascii="Times New Roman" w:hAnsi="Times New Roman"/>
                <w:b/>
                <w:color w:val="232323"/>
                <w:sz w:val="21"/>
              </w:rPr>
              <w:t>Acción de Mitigación:</w:t>
            </w:r>
            <w:r>
              <w:rPr>
                <w:rFonts w:ascii="Times New Roman" w:hAnsi="Times New Roman"/>
                <w:color w:val="232323"/>
                <w:sz w:val="21"/>
              </w:rPr>
              <w:t xml:space="preserve"> Se rediseñó la arquitectura de persistencia mediante réplicas de lectura para las consultas de saldo, se implementó una cola asíncrona de mensajes con RabbitMQ para orquestar las transferencias en lotes controlados y se optimizó el pool de conexiones de 50 a 300 conexiones reutilizables. La nueva prueba de estrés certificó la estabilidad del sistema soportando 20,000 conexiones concurrentes con tiempos de respuesta inferiores a 1.2 segundos.</w:t>
            </w:r>
          </w:p>
        </w:tc>
      </w:tr>
    </w:tbl>
    <w:p>
      <w:pPr>
        <w:spacing w:before="0" w:after="80"/>
      </w:pPr>
    </w:p>
    <w:p>
      <w:r>
        <w:br w:type="page"/>
      </w:r>
    </w:p>
    <w:tbl>
      <w:tblPr>
        <w:tblStyle w:val="TableGrid"/>
        <w:tblW w:type="auto" w:w="0"/>
        <w:jc w:val="center"/>
        <w:tblLook w:firstColumn="1" w:firstRow="1" w:lastColumn="0" w:lastRow="0" w:noHBand="0" w:noVBand="1" w:val="04A0"/>
      </w:tblPr>
      <w:tblGrid>
        <w:gridCol w:w="9406"/>
      </w:tblGrid>
      <w:tr>
        <w:tc>
          <w:tcPr>
            <w:tcW w:type="dxa" w:w="9071"/>
            <w:shd w:fill="F7F9FC"/>
            <w:tcMar>
              <w:top w:w="140" w:type="dxa"/>
              <w:bottom w:w="140" w:type="dxa"/>
              <w:left w:w="200" w:type="dxa"/>
              <w:right w:w="200" w:type="dxa"/>
            </w:tcMar>
            <w:tcBorders>
              <w:top w:val="single" w:sz="6" w:space="0" w:color="C0C8D0"/>
              <w:bottom w:val="single" w:sz="6" w:space="0" w:color="C0C8D0"/>
              <w:left w:val="single" w:sz="6" w:space="0" w:color="C0C8D0"/>
              <w:right w:val="single" w:sz="6" w:space="0" w:color="C0C8D0"/>
            </w:tcBorders>
          </w:tcPr>
          <w:p>
            <w:pPr>
              <w:spacing w:before="40" w:after="100"/>
            </w:pPr>
            <w:r>
              <w:rPr>
                <w:rFonts w:ascii="Times New Roman" w:hAnsi="Times New Roman"/>
                <w:b/>
                <w:color w:val="0F2240"/>
                <w:sz w:val="22"/>
              </w:rPr>
              <w:t xml:space="preserve">■ </w:t>
            </w:r>
            <w:r>
              <w:rPr>
                <w:rFonts w:ascii="Times New Roman" w:hAnsi="Times New Roman"/>
                <w:b/>
                <w:color w:val="0F2240"/>
                <w:sz w:val="22"/>
              </w:rPr>
              <w:t>CASO PRÁCTICO 2: Detección, Registro y Ciclo de Vida de un Defecto Crítico en Jira</w:t>
            </w:r>
          </w:p>
          <w:p>
            <w:pPr>
              <w:spacing w:before="20" w:after="60" w:line="276" w:lineRule="auto"/>
              <w:jc w:val="both"/>
            </w:pPr>
            <w:r>
              <w:rPr>
                <w:rFonts w:ascii="Times New Roman" w:hAnsi="Times New Roman"/>
                <w:b/>
                <w:color w:val="232323"/>
                <w:sz w:val="21"/>
              </w:rPr>
              <w:t>Contexto del Sistema:</w:t>
            </w:r>
            <w:r>
              <w:rPr>
                <w:rFonts w:ascii="Times New Roman" w:hAnsi="Times New Roman"/>
                <w:color w:val="232323"/>
                <w:sz w:val="21"/>
              </w:rPr>
              <w:t xml:space="preserve"> Sistema de Punto de Venta (POS) comercial para restaurantes y cafeterías.</w:t>
            </w:r>
          </w:p>
          <w:p>
            <w:pPr>
              <w:spacing w:before="20" w:after="60" w:line="276" w:lineRule="auto"/>
              <w:jc w:val="both"/>
            </w:pPr>
            <w:r>
              <w:rPr>
                <w:rFonts w:ascii="Times New Roman" w:hAnsi="Times New Roman"/>
                <w:b/>
                <w:color w:val="232323"/>
                <w:sz w:val="21"/>
              </w:rPr>
              <w:t>Ficha Técnica de la Incidencia (Issue Key POS-184):</w:t>
            </w:r>
            <w:r>
              <w:rPr>
                <w:rFonts w:ascii="Times New Roman" w:hAnsi="Times New Roman"/>
                <w:color w:val="232323"/>
                <w:sz w:val="21"/>
              </w:rPr>
              <w:t xml:space="preserve"> Discrepancia en el cálculo del corte de caja diario al anular ventas con tarjeta bancaria. Módulo: Finanzas (/cortes/cierre). Severidad: Alta | Prioridad: P1 - Urgente.</w:t>
            </w:r>
          </w:p>
          <w:p>
            <w:pPr>
              <w:spacing w:before="20" w:after="60" w:line="276" w:lineRule="auto"/>
              <w:jc w:val="both"/>
            </w:pPr>
            <w:r>
              <w:rPr>
                <w:rFonts w:ascii="Times New Roman" w:hAnsi="Times New Roman"/>
                <w:b/>
                <w:color w:val="232323"/>
                <w:sz w:val="21"/>
              </w:rPr>
              <w:t>Pasos para Reproducir:</w:t>
            </w:r>
            <w:r>
              <w:rPr>
                <w:rFonts w:ascii="Times New Roman" w:hAnsi="Times New Roman"/>
                <w:color w:val="232323"/>
                <w:sz w:val="21"/>
              </w:rPr>
              <w:t xml:space="preserve"> 1. Iniciar sesión como cajero en el POS. 2. Registrar venta de $450.00 MXN cobrada mediante Terminal Tarjeta. 3. Acceder al módulo de ventas y proceder a la anulación justificada. 4. Ir a Generar Corte de Caja y presionar "Calcular Totales Esperados".</w:t>
            </w:r>
          </w:p>
          <w:p>
            <w:pPr>
              <w:spacing w:before="20" w:after="60" w:line="276" w:lineRule="auto"/>
              <w:jc w:val="both"/>
            </w:pPr>
            <w:r>
              <w:rPr>
                <w:rFonts w:ascii="Times New Roman" w:hAnsi="Times New Roman"/>
                <w:b/>
                <w:color w:val="232323"/>
                <w:sz w:val="21"/>
              </w:rPr>
              <w:t>Comportamiento Esperado vs Observado:</w:t>
            </w:r>
            <w:r>
              <w:rPr>
                <w:rFonts w:ascii="Times New Roman" w:hAnsi="Times New Roman"/>
                <w:color w:val="232323"/>
                <w:sz w:val="21"/>
              </w:rPr>
              <w:t xml:space="preserve"> Esperado: El total acumulado de ventas con tarjeta debe descontar la venta anulada, reflejando $0.00. Observado: El saldo acumulado sigue sumando los $450.00 de la venta cancelada, arrojando una diferencia artificial de caja y descuadrando el arqueo final.</w:t>
            </w:r>
          </w:p>
          <w:p>
            <w:pPr>
              <w:spacing w:before="20" w:after="60" w:line="276" w:lineRule="auto"/>
              <w:jc w:val="both"/>
            </w:pPr>
            <w:r>
              <w:rPr>
                <w:rFonts w:ascii="Times New Roman" w:hAnsi="Times New Roman"/>
                <w:b/>
                <w:color w:val="232323"/>
                <w:sz w:val="21"/>
              </w:rPr>
              <w:t>Evidencia Anexa:</w:t>
            </w:r>
            <w:r>
              <w:rPr>
                <w:rFonts w:ascii="Times New Roman" w:hAnsi="Times New Roman"/>
                <w:color w:val="232323"/>
                <w:sz w:val="21"/>
              </w:rPr>
              <w:t xml:space="preserve"> Captura de pantalla del formulario de corte de caja y volcado del log con la consulta SQL subyacente.</w:t>
            </w:r>
          </w:p>
          <w:p>
            <w:pPr>
              <w:spacing w:before="20" w:after="60" w:line="276" w:lineRule="auto"/>
              <w:jc w:val="both"/>
            </w:pPr>
            <w:r>
              <w:rPr>
                <w:rFonts w:ascii="Times New Roman" w:hAnsi="Times New Roman"/>
                <w:b/>
                <w:color w:val="232323"/>
                <w:sz w:val="21"/>
              </w:rPr>
              <w:t>Resolución y Trazabilidad:</w:t>
            </w:r>
            <w:r>
              <w:rPr>
                <w:rFonts w:ascii="Times New Roman" w:hAnsi="Times New Roman"/>
                <w:color w:val="232323"/>
                <w:sz w:val="21"/>
              </w:rPr>
              <w:t xml:space="preserve"> 1. El tester registra el ticket en estado "Nuevo". El líder asigna el ticket a un desarrollador backend ("Asignado"). 2. El desarrollador reproduce la falla y descubre que la consulta SUM(total) en modelsCorteCaja.py omitía el filtro WHERE estado != "CANCELADA" ("En Progreso"). 3. El programador corrige la consulta SQL, escribe una prueba unitaria específica en tests/test_modelos_corte_caja.py para validar el filtro de anulación y envía el Pull Request ("Resuelto"). 4. El tester despliega la versión a staging, repite los 4 pasos, confirma que el arqueo calcula $0.00 exactos y que las 290 pruebas unitarias pasan limpiamente ("Verificado"). 5. El ticket se actualiza formalmente a estado "Cerrado" con referencia al commit en la rama principal.</w:t>
            </w:r>
          </w:p>
        </w:tc>
      </w:tr>
    </w:tbl>
    <w:p>
      <w:pPr>
        <w:spacing w:before="0" w:after="80"/>
      </w:pPr>
    </w:p>
    <w:p>
      <w:r>
        <w:br w:type="page"/>
      </w:r>
    </w:p>
    <w:tbl>
      <w:tblPr>
        <w:tblStyle w:val="TableGrid"/>
        <w:tblW w:type="auto" w:w="0"/>
        <w:jc w:val="center"/>
        <w:tblLook w:firstColumn="1" w:firstRow="1" w:lastColumn="0" w:lastRow="0" w:noHBand="0" w:noVBand="1" w:val="04A0"/>
      </w:tblPr>
      <w:tblGrid>
        <w:gridCol w:w="9406"/>
      </w:tblGrid>
      <w:tr>
        <w:tc>
          <w:tcPr>
            <w:tcW w:type="dxa" w:w="9071"/>
            <w:shd w:fill="F7F9FC"/>
            <w:tcMar>
              <w:top w:w="140" w:type="dxa"/>
              <w:bottom w:w="140" w:type="dxa"/>
              <w:left w:w="200" w:type="dxa"/>
              <w:right w:w="200" w:type="dxa"/>
            </w:tcMar>
            <w:tcBorders>
              <w:top w:val="single" w:sz="6" w:space="0" w:color="C0C8D0"/>
              <w:bottom w:val="single" w:sz="6" w:space="0" w:color="C0C8D0"/>
              <w:left w:val="single" w:sz="6" w:space="0" w:color="C0C8D0"/>
              <w:right w:val="single" w:sz="6" w:space="0" w:color="C0C8D0"/>
            </w:tcBorders>
          </w:tcPr>
          <w:p>
            <w:pPr>
              <w:spacing w:before="40" w:after="100"/>
            </w:pPr>
            <w:r>
              <w:rPr>
                <w:rFonts w:ascii="Times New Roman" w:hAnsi="Times New Roman"/>
                <w:b/>
                <w:color w:val="0F2240"/>
                <w:sz w:val="22"/>
              </w:rPr>
              <w:t xml:space="preserve">■ </w:t>
            </w:r>
            <w:r>
              <w:rPr>
                <w:rFonts w:ascii="Times New Roman" w:hAnsi="Times New Roman"/>
                <w:b/>
                <w:color w:val="0F2240"/>
                <w:sz w:val="22"/>
              </w:rPr>
              <w:t>CASO PRÁCTICO 3: Pipeline CI/CD con Pruebas de Regresión Automatizadas ante Nueva Versión</w:t>
            </w:r>
          </w:p>
          <w:p>
            <w:pPr>
              <w:spacing w:before="20" w:after="60" w:line="276" w:lineRule="auto"/>
              <w:jc w:val="both"/>
            </w:pPr>
            <w:r>
              <w:rPr>
                <w:rFonts w:ascii="Times New Roman" w:hAnsi="Times New Roman"/>
                <w:b/>
                <w:color w:val="232323"/>
                <w:sz w:val="21"/>
              </w:rPr>
              <w:t>Contexto del Sistema:</w:t>
            </w:r>
            <w:r>
              <w:rPr>
                <w:rFonts w:ascii="Times New Roman" w:hAnsi="Times New Roman"/>
                <w:color w:val="232323"/>
                <w:sz w:val="21"/>
              </w:rPr>
              <w:t xml:space="preserve"> Despliegue de la versión v2.4.0 de una plataforma de comercio web y punto de venta.</w:t>
            </w:r>
          </w:p>
          <w:p>
            <w:pPr>
              <w:spacing w:before="20" w:after="60" w:line="276" w:lineRule="auto"/>
              <w:jc w:val="both"/>
            </w:pPr>
            <w:r>
              <w:rPr>
                <w:rFonts w:ascii="Times New Roman" w:hAnsi="Times New Roman"/>
                <w:b/>
                <w:color w:val="232323"/>
                <w:sz w:val="21"/>
              </w:rPr>
              <w:t>Escenario de Cambio:</w:t>
            </w:r>
            <w:r>
              <w:rPr>
                <w:rFonts w:ascii="Times New Roman" w:hAnsi="Times New Roman"/>
                <w:color w:val="232323"/>
                <w:sz w:val="21"/>
              </w:rPr>
              <w:t xml:space="preserve"> El equipo de desarrollo incorpora una nueva funcionalidad para otorgar promociones de "Hora Feliz" (Happy Hour) con descuento automático porcentual sobre productos de cafetería.</w:t>
            </w:r>
          </w:p>
          <w:p>
            <w:pPr>
              <w:spacing w:before="20" w:after="60" w:line="276" w:lineRule="auto"/>
              <w:jc w:val="both"/>
            </w:pPr>
            <w:r>
              <w:rPr>
                <w:rFonts w:ascii="Times New Roman" w:hAnsi="Times New Roman"/>
                <w:b/>
                <w:color w:val="232323"/>
                <w:sz w:val="21"/>
              </w:rPr>
              <w:t>Riesgo de Regresión:</w:t>
            </w:r>
            <w:r>
              <w:rPr>
                <w:rFonts w:ascii="Times New Roman" w:hAnsi="Times New Roman"/>
                <w:color w:val="232323"/>
                <w:sz w:val="21"/>
              </w:rPr>
              <w:t xml:space="preserve"> La lógica de precios es transversal; una alteración incorrecta en la función compartida de cálculo de subtotal e impuestos podría quebrar la facturación regular de pedidos a domicilio o la generación de tickets de venta.</w:t>
            </w:r>
          </w:p>
          <w:p>
            <w:pPr>
              <w:spacing w:before="20" w:after="60" w:line="276" w:lineRule="auto"/>
              <w:jc w:val="both"/>
            </w:pPr>
            <w:r>
              <w:rPr>
                <w:rFonts w:ascii="Times New Roman" w:hAnsi="Times New Roman"/>
                <w:b/>
                <w:color w:val="232323"/>
                <w:sz w:val="21"/>
              </w:rPr>
              <w:t>Ejecución del Pipeline en GitHub Actions:</w:t>
            </w:r>
            <w:r>
              <w:rPr>
                <w:rFonts w:ascii="Times New Roman" w:hAnsi="Times New Roman"/>
                <w:color w:val="232323"/>
                <w:sz w:val="21"/>
              </w:rPr>
              <w:t xml:space="preserve"> Al enviar el Pull Request a la rama main, se dispara automáticamente el workflow de Calidad con la suite completa de 290 pruebas unitarias y de integración en el runner de GitHub.</w:t>
            </w:r>
          </w:p>
          <w:p>
            <w:pPr>
              <w:spacing w:before="20" w:after="60" w:line="276" w:lineRule="auto"/>
              <w:jc w:val="both"/>
            </w:pPr>
            <w:r>
              <w:rPr>
                <w:rFonts w:ascii="Times New Roman" w:hAnsi="Times New Roman"/>
                <w:b/>
                <w:color w:val="232323"/>
                <w:sz w:val="21"/>
              </w:rPr>
              <w:t>Alarma de Regresión Detectada:</w:t>
            </w:r>
            <w:r>
              <w:rPr>
                <w:rFonts w:ascii="Times New Roman" w:hAnsi="Times New Roman"/>
                <w:color w:val="232323"/>
                <w:sz w:val="21"/>
              </w:rPr>
              <w:t xml:space="preserve"> El test test_calculo_total_con_iva_y_descuento_general falló inesperadamente con código de error 1. La nueva función de "Hora Feliz" sobrescribía el valor del IVA general multiplicándolo por 0 en lugar de calcularlo sobre la base neta reducida.</w:t>
            </w:r>
          </w:p>
          <w:p>
            <w:pPr>
              <w:spacing w:before="20" w:after="60" w:line="276" w:lineRule="auto"/>
              <w:jc w:val="both"/>
            </w:pPr>
            <w:r>
              <w:rPr>
                <w:rFonts w:ascii="Times New Roman" w:hAnsi="Times New Roman"/>
                <w:b/>
                <w:color w:val="232323"/>
                <w:sz w:val="21"/>
              </w:rPr>
              <w:t>Bloqueo Preventivo y Resolución:</w:t>
            </w:r>
            <w:r>
              <w:rPr>
                <w:rFonts w:ascii="Times New Roman" w:hAnsi="Times New Roman"/>
                <w:color w:val="232323"/>
                <w:sz w:val="21"/>
              </w:rPr>
              <w:t xml:space="preserve"> El pipeline bloqueó automáticamente el merge a producción, impidiendo emitir ventas con IVA incorrecto y evitando sanciones fiscales. El desarrollador ajustó la jerarquía de aplicación de impuestos en el modelo matemático, hizo push del parche, el pipeline corrió nuevamente y las 290 pruebas aprobaron con 100% de cobertura, permitiendo un despliegue seguro.</w:t>
            </w:r>
          </w:p>
        </w:tc>
      </w:tr>
    </w:tbl>
    <w:p>
      <w:pPr>
        <w:spacing w:before="0" w:after="80"/>
      </w:pPr>
    </w:p>
    <w:p>
      <w:pPr>
        <w:keepNext/>
        <w:spacing w:before="260" w:after="80"/>
      </w:pPr>
      <w:r>
        <w:rPr>
          <w:rFonts w:ascii="Times New Roman" w:hAnsi="Times New Roman"/>
          <w:b/>
          <w:color w:val="0F2240"/>
          <w:sz w:val="27"/>
        </w:rPr>
        <w:t>3. Análisis Reflexivo</w:t>
      </w:r>
    </w:p>
    <w:p>
      <w:pPr>
        <w:spacing w:before="0" w:after="100" w:line="276" w:lineRule="auto"/>
        <w:jc w:val="both"/>
      </w:pPr>
      <w:r>
        <w:rPr>
          <w:rFonts w:ascii="Times New Roman" w:hAnsi="Times New Roman"/>
          <w:b/>
          <w:color w:val="232323"/>
          <w:sz w:val="24"/>
        </w:rPr>
        <w:t xml:space="preserve">Relevancia equivalente entre atributos funcionales y no funcionales: </w:t>
      </w:r>
      <w:r>
        <w:rPr>
          <w:rFonts w:ascii="Times New Roman" w:hAnsi="Times New Roman"/>
          <w:color w:val="232323"/>
          <w:sz w:val="24"/>
        </w:rPr>
        <w:t>¿Por qué las pruebas no funcionales son tan relevantes como las funcionales?</w:t>
      </w:r>
    </w:p>
    <w:p>
      <w:pPr>
        <w:spacing w:before="0" w:after="100" w:line="276" w:lineRule="auto"/>
        <w:jc w:val="both"/>
      </w:pPr>
      <w:r>
        <w:rPr>
          <w:rFonts w:ascii="Times New Roman" w:hAnsi="Times New Roman"/>
          <w:color w:val="232323"/>
          <w:sz w:val="24"/>
        </w:rPr>
        <w:t>En el paradigma contemporáneo de la ingeniería de software, la división entre lo funcional y lo no funcional no debe interpretarse como una jerarquía de prioridades, sino como dos caras inseparables de la misma moneda. Un software que calcula una transacción con precisión funcional absoluta carece por completo de utilidad práctica si presenta un tiempo de respuesta de sesenta segundos, si sufre caídas ante el acceso concurrente de apenas veinte cajeros, o si posee brechas de seguridad que exponen las credenciales y los datos patrimoniales de los usuarios a actores maliciosos [1], [3]. La experiencia del usuario, la continuidad operativa del negocio, el cumplimiento de regulaciones de privacidad y la reputación de la organización descansan primordialmente en atributos no funcionales como el rendimiento, la resiliencia y la seguridad [4]. Por consiguiente, concebir un producto de software como "terminado" basándose exclusivamente en que sus botones y cálculos funcionan representa un grave error técnico que suele culminar en costosos fracasos comerciales.</w:t>
      </w:r>
    </w:p>
    <w:p>
      <w:pPr>
        <w:spacing w:before="0" w:after="100" w:line="276" w:lineRule="auto"/>
        <w:jc w:val="both"/>
      </w:pPr>
      <w:r>
        <w:rPr>
          <w:rFonts w:ascii="Times New Roman" w:hAnsi="Times New Roman"/>
          <w:b/>
          <w:color w:val="232323"/>
          <w:sz w:val="24"/>
        </w:rPr>
        <w:t xml:space="preserve">El seguimiento de defectos como catalizador de la mejora continua: </w:t>
      </w:r>
      <w:r>
        <w:rPr>
          <w:rFonts w:ascii="Times New Roman" w:hAnsi="Times New Roman"/>
          <w:color w:val="232323"/>
          <w:sz w:val="24"/>
        </w:rPr>
        <w:t>¿Qué papel juega el seguimiento de defectos en la mejora continua del software?</w:t>
      </w:r>
    </w:p>
    <w:p>
      <w:pPr>
        <w:spacing w:before="0" w:after="100" w:line="276" w:lineRule="auto"/>
        <w:jc w:val="both"/>
      </w:pPr>
      <w:r>
        <w:rPr>
          <w:rFonts w:ascii="Times New Roman" w:hAnsi="Times New Roman"/>
          <w:color w:val="232323"/>
          <w:sz w:val="24"/>
        </w:rPr>
        <w:t>El registro y seguimiento disciplinado de defectos trasciende por completo la simple noción de ser un "listado de pendientes por reparar". En el marco de la mejora continua (filosofías Kaizen, Agile y DevOps), el repositorio de incidencias constituye la principal fuente de inteligencia empírica del equipo de desarrollo [5], [6]. Analizar el historial de fallas permite identificar patrones sistemáticos de debilidad en la arquitectura, detectar módulos con alta densidad de defectos, evaluar la eficacia de los filtros de control de calidad y cuantificar métricas clave como el tiempo promedio de resolución y la tasa de reaparición de fallas. Más aún, cada defecto debidamente documentado impulsa el análisis de causa raíz (Root Cause Analysis - RCA), transformando el error humano en aprendizaje organizacional: se actualizan las pautas de codificación, se diseñan nuevas pruebas de regresión automatizadas para que el defecto nunca vuelva a manifestarse y se perfeccionan los procesos de diseño y estimación. De este modo, el seguimiento de defectos convierte los tropiezos del pasado en la garantía de robustez del futuro.</w:t>
      </w:r>
    </w:p>
    <w:p>
      <w:pPr>
        <w:keepNext/>
        <w:spacing w:before="260" w:after="80"/>
      </w:pPr>
      <w:r>
        <w:rPr>
          <w:rFonts w:ascii="Times New Roman" w:hAnsi="Times New Roman"/>
          <w:b/>
          <w:color w:val="0F2240"/>
          <w:sz w:val="27"/>
        </w:rPr>
        <w:t>4. Referencias Bibliográficas (Formato IEEE)</w:t>
      </w:r>
    </w:p>
    <w:tbl>
      <w:tblPr>
        <w:tblW w:type="auto" w:w="0"/>
        <w:jc w:val="center"/>
        <w:tblLook w:firstColumn="1" w:firstRow="1" w:lastColumn="0" w:lastRow="0" w:noHBand="0" w:noVBand="1" w:val="04A0"/>
      </w:tblPr>
      <w:tblGrid>
        <w:gridCol w:w="4703"/>
        <w:gridCol w:w="4703"/>
      </w:tblGrid>
      <w:tr>
        <w:tc>
          <w:tcPr>
            <w:tcW w:type="dxa" w:w="680"/>
            <w:tcMar>
              <w:top w:w="30" w:type="dxa"/>
              <w:bottom w:w="30" w:type="dxa"/>
              <w:left w:w="30" w:type="dxa"/>
              <w:right w:w="50" w:type="dxa"/>
            </w:tcMar>
          </w:tcPr>
          <w:p>
            <w:pPr>
              <w:spacing w:before="60" w:after="60" w:line="252" w:lineRule="auto"/>
              <w:jc w:val="left"/>
            </w:pPr>
            <w:r/>
            <w:r>
              <w:rPr>
                <w:rFonts w:ascii="Times New Roman" w:hAnsi="Times New Roman"/>
                <w:b/>
                <w:color w:val="0F2240"/>
                <w:sz w:val="20"/>
              </w:rPr>
              <w:t>[1]</w:t>
            </w:r>
          </w:p>
        </w:tc>
        <w:tc>
          <w:tcPr>
            <w:tcW w:type="dxa" w:w="8391"/>
            <w:tcMar>
              <w:top w:w="30" w:type="dxa"/>
              <w:bottom w:w="30" w:type="dxa"/>
              <w:left w:w="50" w:type="dxa"/>
              <w:right w:w="30" w:type="dxa"/>
            </w:tcMar>
          </w:tcPr>
          <w:p>
            <w:pPr>
              <w:spacing w:before="60" w:after="60" w:line="252" w:lineRule="auto"/>
              <w:jc w:val="left"/>
            </w:pPr>
            <w:r/>
            <w:r>
              <w:rPr>
                <w:rFonts w:ascii="Times New Roman" w:hAnsi="Times New Roman"/>
                <w:b w:val="0"/>
                <w:color w:val="232323"/>
                <w:sz w:val="20"/>
              </w:rPr>
              <w:t>IEEE Standard for Software and System Test Documentation, IEEE Std 829-2008 (Revision of IEEE Std 829-1998), IEEE Computer Society, Piscataway, NJ, USA, pp. 1–128, Jul. 2008. doi: 10.1109/IEEESTD.2008.4578383.</w:t>
            </w:r>
          </w:p>
        </w:tc>
      </w:tr>
      <w:tr>
        <w:tc>
          <w:tcPr>
            <w:tcW w:type="dxa" w:w="680"/>
            <w:tcMar>
              <w:top w:w="30" w:type="dxa"/>
              <w:bottom w:w="30" w:type="dxa"/>
              <w:left w:w="30" w:type="dxa"/>
              <w:right w:w="50" w:type="dxa"/>
            </w:tcMar>
          </w:tcPr>
          <w:p>
            <w:pPr>
              <w:spacing w:before="60" w:after="60" w:line="252" w:lineRule="auto"/>
              <w:jc w:val="left"/>
            </w:pPr>
            <w:r/>
            <w:r>
              <w:rPr>
                <w:rFonts w:ascii="Times New Roman" w:hAnsi="Times New Roman"/>
                <w:b/>
                <w:color w:val="0F2240"/>
                <w:sz w:val="20"/>
              </w:rPr>
              <w:t>[2]</w:t>
            </w:r>
          </w:p>
        </w:tc>
        <w:tc>
          <w:tcPr>
            <w:tcW w:type="dxa" w:w="8391"/>
            <w:tcMar>
              <w:top w:w="30" w:type="dxa"/>
              <w:bottom w:w="30" w:type="dxa"/>
              <w:left w:w="50" w:type="dxa"/>
              <w:right w:w="30" w:type="dxa"/>
            </w:tcMar>
          </w:tcPr>
          <w:p>
            <w:pPr>
              <w:spacing w:before="60" w:after="60" w:line="252" w:lineRule="auto"/>
              <w:jc w:val="left"/>
            </w:pPr>
            <w:r/>
            <w:r>
              <w:rPr>
                <w:rFonts w:ascii="Times New Roman" w:hAnsi="Times New Roman"/>
                <w:b w:val="0"/>
                <w:color w:val="232323"/>
                <w:sz w:val="20"/>
              </w:rPr>
              <w:t>ISO/IEC/IEEE Systems and software engineering — Software testing — Part 1: Concepts and definitions, ISO/IEC/IEEE 29119-1:2022, International Organization for Standardization, Geneva, Switzerland, 2022.</w:t>
            </w:r>
          </w:p>
        </w:tc>
      </w:tr>
      <w:tr>
        <w:tc>
          <w:tcPr>
            <w:tcW w:type="dxa" w:w="680"/>
            <w:tcMar>
              <w:top w:w="30" w:type="dxa"/>
              <w:bottom w:w="30" w:type="dxa"/>
              <w:left w:w="30" w:type="dxa"/>
              <w:right w:w="50" w:type="dxa"/>
            </w:tcMar>
          </w:tcPr>
          <w:p>
            <w:pPr>
              <w:spacing w:before="60" w:after="60" w:line="252" w:lineRule="auto"/>
              <w:jc w:val="left"/>
            </w:pPr>
            <w:r/>
            <w:r>
              <w:rPr>
                <w:rFonts w:ascii="Times New Roman" w:hAnsi="Times New Roman"/>
                <w:b/>
                <w:color w:val="0F2240"/>
                <w:sz w:val="20"/>
              </w:rPr>
              <w:t>[3]</w:t>
            </w:r>
          </w:p>
        </w:tc>
        <w:tc>
          <w:tcPr>
            <w:tcW w:type="dxa" w:w="8391"/>
            <w:tcMar>
              <w:top w:w="30" w:type="dxa"/>
              <w:bottom w:w="30" w:type="dxa"/>
              <w:left w:w="50" w:type="dxa"/>
              <w:right w:w="30" w:type="dxa"/>
            </w:tcMar>
          </w:tcPr>
          <w:p>
            <w:pPr>
              <w:spacing w:before="60" w:after="60" w:line="252" w:lineRule="auto"/>
              <w:jc w:val="left"/>
            </w:pPr>
            <w:r/>
            <w:r>
              <w:rPr>
                <w:rFonts w:ascii="Times New Roman" w:hAnsi="Times New Roman"/>
                <w:b w:val="0"/>
                <w:color w:val="232323"/>
                <w:sz w:val="20"/>
              </w:rPr>
              <w:t>ISO/IEC Systems and software engineering — Systems and software Quality Requirements and Evaluation (SQuaRE) — System and software quality models, ISO/IEC 25010:2011, International Organization for Standardization, Geneva, Switzerland, 2011.</w:t>
            </w:r>
          </w:p>
        </w:tc>
      </w:tr>
      <w:tr>
        <w:tc>
          <w:tcPr>
            <w:tcW w:type="dxa" w:w="680"/>
            <w:tcMar>
              <w:top w:w="30" w:type="dxa"/>
              <w:bottom w:w="30" w:type="dxa"/>
              <w:left w:w="30" w:type="dxa"/>
              <w:right w:w="50" w:type="dxa"/>
            </w:tcMar>
          </w:tcPr>
          <w:p>
            <w:pPr>
              <w:spacing w:before="60" w:after="60" w:line="252" w:lineRule="auto"/>
              <w:jc w:val="left"/>
            </w:pPr>
            <w:r/>
            <w:r>
              <w:rPr>
                <w:rFonts w:ascii="Times New Roman" w:hAnsi="Times New Roman"/>
                <w:b/>
                <w:color w:val="0F2240"/>
                <w:sz w:val="20"/>
              </w:rPr>
              <w:t>[4]</w:t>
            </w:r>
          </w:p>
        </w:tc>
        <w:tc>
          <w:tcPr>
            <w:tcW w:type="dxa" w:w="8391"/>
            <w:tcMar>
              <w:top w:w="30" w:type="dxa"/>
              <w:bottom w:w="30" w:type="dxa"/>
              <w:left w:w="50" w:type="dxa"/>
              <w:right w:w="30" w:type="dxa"/>
            </w:tcMar>
          </w:tcPr>
          <w:p>
            <w:pPr>
              <w:spacing w:before="60" w:after="60" w:line="252" w:lineRule="auto"/>
              <w:jc w:val="left"/>
            </w:pPr>
            <w:r/>
            <w:r>
              <w:rPr>
                <w:rFonts w:ascii="Times New Roman" w:hAnsi="Times New Roman"/>
                <w:b w:val="0"/>
                <w:color w:val="232323"/>
                <w:sz w:val="20"/>
              </w:rPr>
              <w:t>I. Sommerville, Software Engineering, 10th ed. Boston, MA, USA: Pearson Education, 2016, pp. 225–256.</w:t>
            </w:r>
          </w:p>
        </w:tc>
      </w:tr>
      <w:tr>
        <w:tc>
          <w:tcPr>
            <w:tcW w:type="dxa" w:w="680"/>
            <w:tcMar>
              <w:top w:w="30" w:type="dxa"/>
              <w:bottom w:w="30" w:type="dxa"/>
              <w:left w:w="30" w:type="dxa"/>
              <w:right w:w="50" w:type="dxa"/>
            </w:tcMar>
          </w:tcPr>
          <w:p>
            <w:pPr>
              <w:spacing w:before="60" w:after="60" w:line="252" w:lineRule="auto"/>
              <w:jc w:val="left"/>
            </w:pPr>
            <w:r/>
            <w:r>
              <w:rPr>
                <w:rFonts w:ascii="Times New Roman" w:hAnsi="Times New Roman"/>
                <w:b/>
                <w:color w:val="0F2240"/>
                <w:sz w:val="20"/>
              </w:rPr>
              <w:t>[5]</w:t>
            </w:r>
          </w:p>
        </w:tc>
        <w:tc>
          <w:tcPr>
            <w:tcW w:type="dxa" w:w="8391"/>
            <w:tcMar>
              <w:top w:w="30" w:type="dxa"/>
              <w:bottom w:w="30" w:type="dxa"/>
              <w:left w:w="50" w:type="dxa"/>
              <w:right w:w="30" w:type="dxa"/>
            </w:tcMar>
          </w:tcPr>
          <w:p>
            <w:pPr>
              <w:spacing w:before="60" w:after="60" w:line="252" w:lineRule="auto"/>
              <w:jc w:val="left"/>
            </w:pPr>
            <w:r/>
            <w:r>
              <w:rPr>
                <w:rFonts w:ascii="Times New Roman" w:hAnsi="Times New Roman"/>
                <w:b w:val="0"/>
                <w:color w:val="232323"/>
                <w:sz w:val="20"/>
              </w:rPr>
              <w:t>R. S. Pressman and B. R. Maxim, Software Engineering: A Practitioner’s Approach, 9th ed. New York, NY, USA: McGraw-Hill Education, 2020, pp. 480–522.</w:t>
            </w:r>
          </w:p>
        </w:tc>
      </w:tr>
      <w:tr>
        <w:tc>
          <w:tcPr>
            <w:tcW w:type="dxa" w:w="680"/>
            <w:tcMar>
              <w:top w:w="30" w:type="dxa"/>
              <w:bottom w:w="30" w:type="dxa"/>
              <w:left w:w="30" w:type="dxa"/>
              <w:right w:w="50" w:type="dxa"/>
            </w:tcMar>
          </w:tcPr>
          <w:p>
            <w:pPr>
              <w:spacing w:before="60" w:after="60" w:line="252" w:lineRule="auto"/>
              <w:jc w:val="left"/>
            </w:pPr>
            <w:r/>
            <w:r>
              <w:rPr>
                <w:rFonts w:ascii="Times New Roman" w:hAnsi="Times New Roman"/>
                <w:b/>
                <w:color w:val="0F2240"/>
                <w:sz w:val="20"/>
              </w:rPr>
              <w:t>[6]</w:t>
            </w:r>
          </w:p>
        </w:tc>
        <w:tc>
          <w:tcPr>
            <w:tcW w:type="dxa" w:w="8391"/>
            <w:tcMar>
              <w:top w:w="30" w:type="dxa"/>
              <w:bottom w:w="30" w:type="dxa"/>
              <w:left w:w="50" w:type="dxa"/>
              <w:right w:w="30" w:type="dxa"/>
            </w:tcMar>
          </w:tcPr>
          <w:p>
            <w:pPr>
              <w:spacing w:before="60" w:after="60" w:line="252" w:lineRule="auto"/>
              <w:jc w:val="left"/>
            </w:pPr>
            <w:r/>
            <w:r>
              <w:rPr>
                <w:rFonts w:ascii="Times New Roman" w:hAnsi="Times New Roman"/>
                <w:b w:val="0"/>
                <w:color w:val="232323"/>
                <w:sz w:val="20"/>
              </w:rPr>
              <w:t>G. J. Myers, C. Sandler, and T. Badgett, The Art of Software Testing, 3rd ed. Hoboken, NJ, USA: John Wiley &amp; Sons, Inc., 2012, pp. 115–148.</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