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18F0" w:rsidRDefault="00CE18F0" w:rsidP="00CE18F0">
      <w:pPr>
        <w:pStyle w:val="Title"/>
      </w:pPr>
    </w:p>
    <w:p w:rsidR="00CE18F0" w:rsidRDefault="00CE18F0" w:rsidP="00CE18F0">
      <w:pPr>
        <w:pStyle w:val="Title"/>
      </w:pPr>
    </w:p>
    <w:p w:rsidR="00CE18F0" w:rsidRDefault="00CE18F0" w:rsidP="00CE18F0">
      <w:pPr>
        <w:pStyle w:val="Title"/>
      </w:pPr>
      <w:r>
        <w:t xml:space="preserve">APVGDM: a tool for Automatized Probabilistic </w:t>
      </w:r>
    </w:p>
    <w:p w:rsidR="00CE18F0" w:rsidRPr="00CE18F0" w:rsidRDefault="00CE18F0" w:rsidP="00CE18F0">
      <w:pPr>
        <w:pStyle w:val="Title"/>
        <w:rPr>
          <w:lang w:val="it-IT"/>
        </w:rPr>
      </w:pPr>
      <w:r w:rsidRPr="00CE18F0">
        <w:rPr>
          <w:lang w:val="it-IT"/>
        </w:rPr>
        <w:t>Volcanic Gas Dispersion Modelling</w:t>
      </w:r>
    </w:p>
    <w:p w:rsidR="00CE18F0" w:rsidRPr="00CE18F0" w:rsidRDefault="00CE18F0" w:rsidP="00CE18F0">
      <w:pPr>
        <w:rPr>
          <w:lang w:val="it-IT"/>
        </w:rPr>
      </w:pPr>
    </w:p>
    <w:p w:rsidR="00CE18F0" w:rsidRPr="00CE18F0" w:rsidRDefault="00CE18F0" w:rsidP="00CE18F0">
      <w:pPr>
        <w:rPr>
          <w:lang w:val="it-IT"/>
        </w:rPr>
      </w:pPr>
    </w:p>
    <w:p w:rsidR="00CE18F0" w:rsidRPr="00CE18F0" w:rsidRDefault="00CE18F0" w:rsidP="00CE18F0">
      <w:pPr>
        <w:rPr>
          <w:lang w:val="it-IT"/>
        </w:rPr>
      </w:pPr>
    </w:p>
    <w:p w:rsidR="00CE18F0" w:rsidRPr="00CE18F0" w:rsidRDefault="00CE18F0" w:rsidP="00CE18F0">
      <w:pPr>
        <w:rPr>
          <w:lang w:val="it-IT"/>
        </w:rPr>
      </w:pPr>
      <w:r w:rsidRPr="00CE18F0">
        <w:rPr>
          <w:lang w:val="it-IT"/>
        </w:rPr>
        <w:t>Fabio Dioguardi</w:t>
      </w:r>
      <w:r w:rsidRPr="00CE18F0">
        <w:rPr>
          <w:vertAlign w:val="superscript"/>
          <w:lang w:val="it-IT"/>
        </w:rPr>
        <w:t>1</w:t>
      </w:r>
      <w:r w:rsidRPr="00CE18F0">
        <w:rPr>
          <w:lang w:val="it-IT"/>
        </w:rPr>
        <w:t xml:space="preserve"> and Silvia Massaro</w:t>
      </w:r>
      <w:r w:rsidRPr="00CE18F0">
        <w:rPr>
          <w:vertAlign w:val="superscript"/>
          <w:lang w:val="it-IT"/>
        </w:rPr>
        <w:t>2</w:t>
      </w:r>
    </w:p>
    <w:p w:rsidR="00CE18F0" w:rsidRPr="00CE18F0" w:rsidRDefault="00CE18F0" w:rsidP="00CE18F0">
      <w:pPr>
        <w:rPr>
          <w:lang w:val="it-IT"/>
        </w:rPr>
      </w:pPr>
    </w:p>
    <w:p w:rsidR="00CE18F0" w:rsidRPr="00CE18F0" w:rsidRDefault="00CE18F0" w:rsidP="00CE18F0">
      <w:pPr>
        <w:rPr>
          <w:lang w:val="it-IT"/>
        </w:rPr>
      </w:pPr>
    </w:p>
    <w:p w:rsidR="00CE18F0" w:rsidRDefault="00CE18F0" w:rsidP="00CE18F0">
      <w:r>
        <w:t>1 British Geological Survey, The Lyell Centre, Edinburgh, United Kingdom;</w:t>
      </w:r>
    </w:p>
    <w:p w:rsidR="00CE18F0" w:rsidRPr="00CE18F0" w:rsidRDefault="00CE18F0" w:rsidP="00CE18F0">
      <w:pPr>
        <w:rPr>
          <w:lang w:val="it-IT"/>
        </w:rPr>
      </w:pPr>
      <w:r w:rsidRPr="00CE18F0">
        <w:rPr>
          <w:lang w:val="it-IT"/>
        </w:rPr>
        <w:t>2 Istituto Nazionale di Geofisica e Vulcanologia, Sezione di Bologna, Via D. Creti 12, 40128, Bologna, Italy.</w:t>
      </w:r>
    </w:p>
    <w:p w:rsidR="00CE18F0" w:rsidRDefault="00CE18F0">
      <w:pPr>
        <w:rPr>
          <w:lang w:val="it-IT"/>
        </w:rPr>
        <w:sectPr w:rsidR="00CE18F0">
          <w:footerReference w:type="default" r:id="rId8"/>
          <w:pgSz w:w="11906" w:h="16838"/>
          <w:pgMar w:top="1440" w:right="1440" w:bottom="1440" w:left="1440" w:header="708" w:footer="708" w:gutter="0"/>
          <w:cols w:space="708"/>
          <w:docGrid w:linePitch="360"/>
        </w:sectPr>
      </w:pPr>
    </w:p>
    <w:sdt>
      <w:sdtPr>
        <w:id w:val="789015362"/>
        <w:docPartObj>
          <w:docPartGallery w:val="Table of Contents"/>
          <w:docPartUnique/>
        </w:docPartObj>
      </w:sdtPr>
      <w:sdtEndPr>
        <w:rPr>
          <w:rFonts w:eastAsiaTheme="minorHAnsi" w:cstheme="minorBidi"/>
          <w:bCs/>
          <w:noProof/>
          <w:sz w:val="22"/>
          <w:szCs w:val="22"/>
          <w:lang w:val="en-GB"/>
        </w:rPr>
      </w:sdtEndPr>
      <w:sdtContent>
        <w:p w:rsidR="00CE18F0" w:rsidRDefault="00CE18F0">
          <w:pPr>
            <w:pStyle w:val="TOCHeading"/>
          </w:pPr>
          <w:r>
            <w:t>Contents</w:t>
          </w:r>
        </w:p>
        <w:p w:rsidR="00EE3EE2" w:rsidRDefault="00CE18F0">
          <w:pPr>
            <w:pStyle w:val="TOC1"/>
            <w:tabs>
              <w:tab w:val="right" w:leader="dot" w:pos="9016"/>
            </w:tabs>
            <w:rPr>
              <w:rFonts w:asciiTheme="minorHAnsi" w:eastAsiaTheme="minorEastAsia" w:hAnsiTheme="minorHAnsi"/>
              <w:noProof/>
              <w:lang w:eastAsia="en-GB"/>
            </w:rPr>
          </w:pPr>
          <w:r>
            <w:fldChar w:fldCharType="begin"/>
          </w:r>
          <w:r>
            <w:instrText xml:space="preserve"> TOC \o "1-3" \h \z \u </w:instrText>
          </w:r>
          <w:r>
            <w:fldChar w:fldCharType="separate"/>
          </w:r>
          <w:hyperlink w:anchor="_Toc57823422" w:history="1">
            <w:r w:rsidR="00EE3EE2" w:rsidRPr="00E54A9C">
              <w:rPr>
                <w:rStyle w:val="Hyperlink"/>
                <w:noProof/>
              </w:rPr>
              <w:t>Abstract</w:t>
            </w:r>
            <w:r w:rsidR="00EE3EE2">
              <w:rPr>
                <w:noProof/>
                <w:webHidden/>
              </w:rPr>
              <w:tab/>
            </w:r>
            <w:r w:rsidR="00EE3EE2">
              <w:rPr>
                <w:noProof/>
                <w:webHidden/>
              </w:rPr>
              <w:fldChar w:fldCharType="begin"/>
            </w:r>
            <w:r w:rsidR="00EE3EE2">
              <w:rPr>
                <w:noProof/>
                <w:webHidden/>
              </w:rPr>
              <w:instrText xml:space="preserve"> PAGEREF _Toc57823422 \h </w:instrText>
            </w:r>
            <w:r w:rsidR="00EE3EE2">
              <w:rPr>
                <w:noProof/>
                <w:webHidden/>
              </w:rPr>
            </w:r>
            <w:r w:rsidR="00EE3EE2">
              <w:rPr>
                <w:noProof/>
                <w:webHidden/>
              </w:rPr>
              <w:fldChar w:fldCharType="separate"/>
            </w:r>
            <w:r w:rsidR="00EE3EE2">
              <w:rPr>
                <w:noProof/>
                <w:webHidden/>
              </w:rPr>
              <w:t>2</w:t>
            </w:r>
            <w:r w:rsidR="00EE3EE2">
              <w:rPr>
                <w:noProof/>
                <w:webHidden/>
              </w:rPr>
              <w:fldChar w:fldCharType="end"/>
            </w:r>
          </w:hyperlink>
        </w:p>
        <w:p w:rsidR="00EE3EE2" w:rsidRDefault="00EE3EE2">
          <w:pPr>
            <w:pStyle w:val="TOC1"/>
            <w:tabs>
              <w:tab w:val="right" w:leader="dot" w:pos="9016"/>
            </w:tabs>
            <w:rPr>
              <w:rFonts w:asciiTheme="minorHAnsi" w:eastAsiaTheme="minorEastAsia" w:hAnsiTheme="minorHAnsi"/>
              <w:noProof/>
              <w:lang w:eastAsia="en-GB"/>
            </w:rPr>
          </w:pPr>
          <w:hyperlink w:anchor="_Toc57823423" w:history="1">
            <w:r w:rsidRPr="00E54A9C">
              <w:rPr>
                <w:rStyle w:val="Hyperlink"/>
                <w:noProof/>
              </w:rPr>
              <w:t>1. Introduction</w:t>
            </w:r>
            <w:r>
              <w:rPr>
                <w:noProof/>
                <w:webHidden/>
              </w:rPr>
              <w:tab/>
            </w:r>
            <w:r>
              <w:rPr>
                <w:noProof/>
                <w:webHidden/>
              </w:rPr>
              <w:fldChar w:fldCharType="begin"/>
            </w:r>
            <w:r>
              <w:rPr>
                <w:noProof/>
                <w:webHidden/>
              </w:rPr>
              <w:instrText xml:space="preserve"> PAGEREF _Toc57823423 \h </w:instrText>
            </w:r>
            <w:r>
              <w:rPr>
                <w:noProof/>
                <w:webHidden/>
              </w:rPr>
            </w:r>
            <w:r>
              <w:rPr>
                <w:noProof/>
                <w:webHidden/>
              </w:rPr>
              <w:fldChar w:fldCharType="separate"/>
            </w:r>
            <w:r>
              <w:rPr>
                <w:noProof/>
                <w:webHidden/>
              </w:rPr>
              <w:t>2</w:t>
            </w:r>
            <w:r>
              <w:rPr>
                <w:noProof/>
                <w:webHidden/>
              </w:rPr>
              <w:fldChar w:fldCharType="end"/>
            </w:r>
          </w:hyperlink>
        </w:p>
        <w:p w:rsidR="00EE3EE2" w:rsidRDefault="00EE3EE2">
          <w:pPr>
            <w:pStyle w:val="TOC1"/>
            <w:tabs>
              <w:tab w:val="right" w:leader="dot" w:pos="9016"/>
            </w:tabs>
            <w:rPr>
              <w:rFonts w:asciiTheme="minorHAnsi" w:eastAsiaTheme="minorEastAsia" w:hAnsiTheme="minorHAnsi"/>
              <w:noProof/>
              <w:lang w:eastAsia="en-GB"/>
            </w:rPr>
          </w:pPr>
          <w:hyperlink w:anchor="_Toc57823424" w:history="1">
            <w:r w:rsidRPr="00E54A9C">
              <w:rPr>
                <w:rStyle w:val="Hyperlink"/>
                <w:noProof/>
              </w:rPr>
              <w:t>2. The numerical models</w:t>
            </w:r>
            <w:r>
              <w:rPr>
                <w:noProof/>
                <w:webHidden/>
              </w:rPr>
              <w:tab/>
            </w:r>
            <w:r>
              <w:rPr>
                <w:noProof/>
                <w:webHidden/>
              </w:rPr>
              <w:fldChar w:fldCharType="begin"/>
            </w:r>
            <w:r>
              <w:rPr>
                <w:noProof/>
                <w:webHidden/>
              </w:rPr>
              <w:instrText xml:space="preserve"> PAGEREF _Toc57823424 \h </w:instrText>
            </w:r>
            <w:r>
              <w:rPr>
                <w:noProof/>
                <w:webHidden/>
              </w:rPr>
            </w:r>
            <w:r>
              <w:rPr>
                <w:noProof/>
                <w:webHidden/>
              </w:rPr>
              <w:fldChar w:fldCharType="separate"/>
            </w:r>
            <w:r>
              <w:rPr>
                <w:noProof/>
                <w:webHidden/>
              </w:rPr>
              <w:t>3</w:t>
            </w:r>
            <w:r>
              <w:rPr>
                <w:noProof/>
                <w:webHidden/>
              </w:rPr>
              <w:fldChar w:fldCharType="end"/>
            </w:r>
          </w:hyperlink>
        </w:p>
        <w:p w:rsidR="00EE3EE2" w:rsidRDefault="00EE3EE2">
          <w:pPr>
            <w:pStyle w:val="TOC2"/>
            <w:tabs>
              <w:tab w:val="right" w:leader="dot" w:pos="9016"/>
            </w:tabs>
            <w:rPr>
              <w:rFonts w:asciiTheme="minorHAnsi" w:eastAsiaTheme="minorEastAsia" w:hAnsiTheme="minorHAnsi"/>
              <w:noProof/>
              <w:lang w:eastAsia="en-GB"/>
            </w:rPr>
          </w:pPr>
          <w:hyperlink w:anchor="_Toc57823425" w:history="1">
            <w:r w:rsidRPr="00E54A9C">
              <w:rPr>
                <w:rStyle w:val="Hyperlink"/>
                <w:noProof/>
              </w:rPr>
              <w:t>2.1 DISGAS 2.0: passive gas dispersal model</w:t>
            </w:r>
            <w:r>
              <w:rPr>
                <w:noProof/>
                <w:webHidden/>
              </w:rPr>
              <w:tab/>
            </w:r>
            <w:r>
              <w:rPr>
                <w:noProof/>
                <w:webHidden/>
              </w:rPr>
              <w:fldChar w:fldCharType="begin"/>
            </w:r>
            <w:r>
              <w:rPr>
                <w:noProof/>
                <w:webHidden/>
              </w:rPr>
              <w:instrText xml:space="preserve"> PAGEREF _Toc57823425 \h </w:instrText>
            </w:r>
            <w:r>
              <w:rPr>
                <w:noProof/>
                <w:webHidden/>
              </w:rPr>
            </w:r>
            <w:r>
              <w:rPr>
                <w:noProof/>
                <w:webHidden/>
              </w:rPr>
              <w:fldChar w:fldCharType="separate"/>
            </w:r>
            <w:r>
              <w:rPr>
                <w:noProof/>
                <w:webHidden/>
              </w:rPr>
              <w:t>3</w:t>
            </w:r>
            <w:r>
              <w:rPr>
                <w:noProof/>
                <w:webHidden/>
              </w:rPr>
              <w:fldChar w:fldCharType="end"/>
            </w:r>
          </w:hyperlink>
        </w:p>
        <w:p w:rsidR="00EE3EE2" w:rsidRDefault="00EE3EE2">
          <w:pPr>
            <w:pStyle w:val="TOC2"/>
            <w:tabs>
              <w:tab w:val="right" w:leader="dot" w:pos="9016"/>
            </w:tabs>
            <w:rPr>
              <w:rFonts w:asciiTheme="minorHAnsi" w:eastAsiaTheme="minorEastAsia" w:hAnsiTheme="minorHAnsi"/>
              <w:noProof/>
              <w:lang w:eastAsia="en-GB"/>
            </w:rPr>
          </w:pPr>
          <w:hyperlink w:anchor="_Toc57823426" w:history="1">
            <w:r w:rsidRPr="00E54A9C">
              <w:rPr>
                <w:rStyle w:val="Hyperlink"/>
                <w:noProof/>
              </w:rPr>
              <w:t>2.2 TWODEE-2: dense gas dispersal model</w:t>
            </w:r>
            <w:r>
              <w:rPr>
                <w:noProof/>
                <w:webHidden/>
              </w:rPr>
              <w:tab/>
            </w:r>
            <w:r>
              <w:rPr>
                <w:noProof/>
                <w:webHidden/>
              </w:rPr>
              <w:fldChar w:fldCharType="begin"/>
            </w:r>
            <w:r>
              <w:rPr>
                <w:noProof/>
                <w:webHidden/>
              </w:rPr>
              <w:instrText xml:space="preserve"> PAGEREF _Toc57823426 \h </w:instrText>
            </w:r>
            <w:r>
              <w:rPr>
                <w:noProof/>
                <w:webHidden/>
              </w:rPr>
            </w:r>
            <w:r>
              <w:rPr>
                <w:noProof/>
                <w:webHidden/>
              </w:rPr>
              <w:fldChar w:fldCharType="separate"/>
            </w:r>
            <w:r>
              <w:rPr>
                <w:noProof/>
                <w:webHidden/>
              </w:rPr>
              <w:t>4</w:t>
            </w:r>
            <w:r>
              <w:rPr>
                <w:noProof/>
                <w:webHidden/>
              </w:rPr>
              <w:fldChar w:fldCharType="end"/>
            </w:r>
          </w:hyperlink>
        </w:p>
        <w:p w:rsidR="00EE3EE2" w:rsidRDefault="00EE3EE2">
          <w:pPr>
            <w:pStyle w:val="TOC2"/>
            <w:tabs>
              <w:tab w:val="right" w:leader="dot" w:pos="9016"/>
            </w:tabs>
            <w:rPr>
              <w:rFonts w:asciiTheme="minorHAnsi" w:eastAsiaTheme="minorEastAsia" w:hAnsiTheme="minorHAnsi"/>
              <w:noProof/>
              <w:lang w:eastAsia="en-GB"/>
            </w:rPr>
          </w:pPr>
          <w:hyperlink w:anchor="_Toc57823427" w:history="1">
            <w:r w:rsidRPr="00E54A9C">
              <w:rPr>
                <w:rStyle w:val="Hyperlink"/>
                <w:noProof/>
              </w:rPr>
              <w:t>2.3 Diagnostic Wind Model (DWM)</w:t>
            </w:r>
            <w:r>
              <w:rPr>
                <w:noProof/>
                <w:webHidden/>
              </w:rPr>
              <w:tab/>
            </w:r>
            <w:r>
              <w:rPr>
                <w:noProof/>
                <w:webHidden/>
              </w:rPr>
              <w:fldChar w:fldCharType="begin"/>
            </w:r>
            <w:r>
              <w:rPr>
                <w:noProof/>
                <w:webHidden/>
              </w:rPr>
              <w:instrText xml:space="preserve"> PAGEREF _Toc57823427 \h </w:instrText>
            </w:r>
            <w:r>
              <w:rPr>
                <w:noProof/>
                <w:webHidden/>
              </w:rPr>
            </w:r>
            <w:r>
              <w:rPr>
                <w:noProof/>
                <w:webHidden/>
              </w:rPr>
              <w:fldChar w:fldCharType="separate"/>
            </w:r>
            <w:r>
              <w:rPr>
                <w:noProof/>
                <w:webHidden/>
              </w:rPr>
              <w:t>4</w:t>
            </w:r>
            <w:r>
              <w:rPr>
                <w:noProof/>
                <w:webHidden/>
              </w:rPr>
              <w:fldChar w:fldCharType="end"/>
            </w:r>
          </w:hyperlink>
        </w:p>
        <w:p w:rsidR="00EE3EE2" w:rsidRDefault="00EE3EE2">
          <w:pPr>
            <w:pStyle w:val="TOC1"/>
            <w:tabs>
              <w:tab w:val="right" w:leader="dot" w:pos="9016"/>
            </w:tabs>
            <w:rPr>
              <w:rFonts w:asciiTheme="minorHAnsi" w:eastAsiaTheme="minorEastAsia" w:hAnsiTheme="minorHAnsi"/>
              <w:noProof/>
              <w:lang w:eastAsia="en-GB"/>
            </w:rPr>
          </w:pPr>
          <w:hyperlink w:anchor="_Toc57823428" w:history="1">
            <w:r w:rsidRPr="00E54A9C">
              <w:rPr>
                <w:rStyle w:val="Hyperlink"/>
                <w:noProof/>
              </w:rPr>
              <w:t>3. The program setup</w:t>
            </w:r>
            <w:r>
              <w:rPr>
                <w:noProof/>
                <w:webHidden/>
              </w:rPr>
              <w:tab/>
            </w:r>
            <w:r>
              <w:rPr>
                <w:noProof/>
                <w:webHidden/>
              </w:rPr>
              <w:fldChar w:fldCharType="begin"/>
            </w:r>
            <w:r>
              <w:rPr>
                <w:noProof/>
                <w:webHidden/>
              </w:rPr>
              <w:instrText xml:space="preserve"> PAGEREF _Toc57823428 \h </w:instrText>
            </w:r>
            <w:r>
              <w:rPr>
                <w:noProof/>
                <w:webHidden/>
              </w:rPr>
            </w:r>
            <w:r>
              <w:rPr>
                <w:noProof/>
                <w:webHidden/>
              </w:rPr>
              <w:fldChar w:fldCharType="separate"/>
            </w:r>
            <w:r>
              <w:rPr>
                <w:noProof/>
                <w:webHidden/>
              </w:rPr>
              <w:t>5</w:t>
            </w:r>
            <w:r>
              <w:rPr>
                <w:noProof/>
                <w:webHidden/>
              </w:rPr>
              <w:fldChar w:fldCharType="end"/>
            </w:r>
          </w:hyperlink>
        </w:p>
        <w:p w:rsidR="00EE3EE2" w:rsidRDefault="00EE3EE2">
          <w:pPr>
            <w:pStyle w:val="TOC2"/>
            <w:tabs>
              <w:tab w:val="right" w:leader="dot" w:pos="9016"/>
            </w:tabs>
            <w:rPr>
              <w:rFonts w:asciiTheme="minorHAnsi" w:eastAsiaTheme="minorEastAsia" w:hAnsiTheme="minorHAnsi"/>
              <w:noProof/>
              <w:lang w:eastAsia="en-GB"/>
            </w:rPr>
          </w:pPr>
          <w:hyperlink w:anchor="_Toc57823429" w:history="1">
            <w:r w:rsidRPr="00E54A9C">
              <w:rPr>
                <w:rStyle w:val="Hyperlink"/>
                <w:noProof/>
              </w:rPr>
              <w:t>3.1 Dependencies and installation instructions</w:t>
            </w:r>
            <w:r>
              <w:rPr>
                <w:noProof/>
                <w:webHidden/>
              </w:rPr>
              <w:tab/>
            </w:r>
            <w:r>
              <w:rPr>
                <w:noProof/>
                <w:webHidden/>
              </w:rPr>
              <w:fldChar w:fldCharType="begin"/>
            </w:r>
            <w:r>
              <w:rPr>
                <w:noProof/>
                <w:webHidden/>
              </w:rPr>
              <w:instrText xml:space="preserve"> PAGEREF _Toc57823429 \h </w:instrText>
            </w:r>
            <w:r>
              <w:rPr>
                <w:noProof/>
                <w:webHidden/>
              </w:rPr>
            </w:r>
            <w:r>
              <w:rPr>
                <w:noProof/>
                <w:webHidden/>
              </w:rPr>
              <w:fldChar w:fldCharType="separate"/>
            </w:r>
            <w:r>
              <w:rPr>
                <w:noProof/>
                <w:webHidden/>
              </w:rPr>
              <w:t>5</w:t>
            </w:r>
            <w:r>
              <w:rPr>
                <w:noProof/>
                <w:webHidden/>
              </w:rPr>
              <w:fldChar w:fldCharType="end"/>
            </w:r>
          </w:hyperlink>
        </w:p>
        <w:p w:rsidR="00EE3EE2" w:rsidRDefault="00EE3EE2">
          <w:pPr>
            <w:pStyle w:val="TOC2"/>
            <w:tabs>
              <w:tab w:val="right" w:leader="dot" w:pos="9016"/>
            </w:tabs>
            <w:rPr>
              <w:rFonts w:asciiTheme="minorHAnsi" w:eastAsiaTheme="minorEastAsia" w:hAnsiTheme="minorHAnsi"/>
              <w:noProof/>
              <w:lang w:eastAsia="en-GB"/>
            </w:rPr>
          </w:pPr>
          <w:hyperlink w:anchor="_Toc57823430" w:history="1">
            <w:r w:rsidRPr="00E54A9C">
              <w:rPr>
                <w:rStyle w:val="Hyperlink"/>
                <w:noProof/>
              </w:rPr>
              <w:t>3.2 Folders structure</w:t>
            </w:r>
            <w:r>
              <w:rPr>
                <w:noProof/>
                <w:webHidden/>
              </w:rPr>
              <w:tab/>
            </w:r>
            <w:r>
              <w:rPr>
                <w:noProof/>
                <w:webHidden/>
              </w:rPr>
              <w:fldChar w:fldCharType="begin"/>
            </w:r>
            <w:r>
              <w:rPr>
                <w:noProof/>
                <w:webHidden/>
              </w:rPr>
              <w:instrText xml:space="preserve"> PAGEREF _Toc57823430 \h </w:instrText>
            </w:r>
            <w:r>
              <w:rPr>
                <w:noProof/>
                <w:webHidden/>
              </w:rPr>
            </w:r>
            <w:r>
              <w:rPr>
                <w:noProof/>
                <w:webHidden/>
              </w:rPr>
              <w:fldChar w:fldCharType="separate"/>
            </w:r>
            <w:r>
              <w:rPr>
                <w:noProof/>
                <w:webHidden/>
              </w:rPr>
              <w:t>6</w:t>
            </w:r>
            <w:r>
              <w:rPr>
                <w:noProof/>
                <w:webHidden/>
              </w:rPr>
              <w:fldChar w:fldCharType="end"/>
            </w:r>
          </w:hyperlink>
        </w:p>
        <w:p w:rsidR="00EE3EE2" w:rsidRDefault="00EE3EE2">
          <w:pPr>
            <w:pStyle w:val="TOC2"/>
            <w:tabs>
              <w:tab w:val="right" w:leader="dot" w:pos="9016"/>
            </w:tabs>
            <w:rPr>
              <w:rFonts w:asciiTheme="minorHAnsi" w:eastAsiaTheme="minorEastAsia" w:hAnsiTheme="minorHAnsi"/>
              <w:noProof/>
              <w:lang w:eastAsia="en-GB"/>
            </w:rPr>
          </w:pPr>
          <w:hyperlink w:anchor="_Toc57823431" w:history="1">
            <w:r w:rsidRPr="00E54A9C">
              <w:rPr>
                <w:rStyle w:val="Hyperlink"/>
                <w:noProof/>
              </w:rPr>
              <w:t>3.3 The APVGDM Input and Output files</w:t>
            </w:r>
            <w:r>
              <w:rPr>
                <w:noProof/>
                <w:webHidden/>
              </w:rPr>
              <w:tab/>
            </w:r>
            <w:r>
              <w:rPr>
                <w:noProof/>
                <w:webHidden/>
              </w:rPr>
              <w:fldChar w:fldCharType="begin"/>
            </w:r>
            <w:r>
              <w:rPr>
                <w:noProof/>
                <w:webHidden/>
              </w:rPr>
              <w:instrText xml:space="preserve"> PAGEREF _Toc57823431 \h </w:instrText>
            </w:r>
            <w:r>
              <w:rPr>
                <w:noProof/>
                <w:webHidden/>
              </w:rPr>
            </w:r>
            <w:r>
              <w:rPr>
                <w:noProof/>
                <w:webHidden/>
              </w:rPr>
              <w:fldChar w:fldCharType="separate"/>
            </w:r>
            <w:r>
              <w:rPr>
                <w:noProof/>
                <w:webHidden/>
              </w:rPr>
              <w:t>7</w:t>
            </w:r>
            <w:r>
              <w:rPr>
                <w:noProof/>
                <w:webHidden/>
              </w:rPr>
              <w:fldChar w:fldCharType="end"/>
            </w:r>
          </w:hyperlink>
        </w:p>
        <w:p w:rsidR="00CE18F0" w:rsidRDefault="00CE18F0">
          <w:r>
            <w:rPr>
              <w:b/>
              <w:bCs/>
              <w:noProof/>
            </w:rPr>
            <w:fldChar w:fldCharType="end"/>
          </w:r>
        </w:p>
      </w:sdtContent>
    </w:sdt>
    <w:p w:rsidR="00B45574" w:rsidRPr="00CE18F0" w:rsidRDefault="00B45574"/>
    <w:p w:rsidR="00CE18F0" w:rsidRPr="00CE18F0" w:rsidRDefault="00CE18F0"/>
    <w:p w:rsidR="00CE18F0" w:rsidRPr="00CE18F0" w:rsidRDefault="00CE18F0"/>
    <w:p w:rsidR="00CE18F0" w:rsidRPr="00CE18F0" w:rsidRDefault="00CE18F0"/>
    <w:p w:rsidR="00CE18F0" w:rsidRPr="00CE18F0" w:rsidRDefault="00CE18F0"/>
    <w:p w:rsidR="00CE18F0" w:rsidRPr="00CE18F0" w:rsidRDefault="00CE18F0"/>
    <w:p w:rsidR="00CE18F0" w:rsidRPr="00CE18F0" w:rsidRDefault="00CE18F0"/>
    <w:p w:rsidR="00CE18F0" w:rsidRPr="00CE18F0" w:rsidRDefault="00CE18F0"/>
    <w:p w:rsidR="00CE18F0" w:rsidRPr="00CE18F0" w:rsidRDefault="00CE18F0"/>
    <w:p w:rsidR="00CE18F0" w:rsidRPr="00CE18F0" w:rsidRDefault="00CE18F0"/>
    <w:p w:rsidR="00CE18F0" w:rsidRPr="00CE18F0" w:rsidRDefault="00CE18F0"/>
    <w:p w:rsidR="00CE18F0" w:rsidRPr="00CE18F0" w:rsidRDefault="00CE18F0"/>
    <w:p w:rsidR="00CE18F0" w:rsidRPr="00CE18F0" w:rsidRDefault="00CE18F0"/>
    <w:p w:rsidR="00CE18F0" w:rsidRPr="00CE18F0" w:rsidRDefault="00CE18F0"/>
    <w:p w:rsidR="00CE18F0" w:rsidRPr="00CE18F0" w:rsidRDefault="00CE18F0"/>
    <w:p w:rsidR="00CE18F0" w:rsidRPr="00CE18F0" w:rsidRDefault="00CE18F0"/>
    <w:p w:rsidR="00CE18F0" w:rsidRPr="00CE18F0" w:rsidRDefault="00CE18F0"/>
    <w:p w:rsidR="00CE18F0" w:rsidRPr="00CE18F0" w:rsidRDefault="00CE18F0"/>
    <w:p w:rsidR="00CE18F0" w:rsidRPr="00CE18F0" w:rsidRDefault="00CE18F0"/>
    <w:p w:rsidR="00CE18F0" w:rsidRPr="00CE18F0" w:rsidRDefault="00CE18F0"/>
    <w:p w:rsidR="00CE18F0" w:rsidRPr="00CE18F0" w:rsidRDefault="00CE18F0"/>
    <w:p w:rsidR="00CE18F0" w:rsidRPr="00CE18F0" w:rsidRDefault="00CE18F0"/>
    <w:p w:rsidR="00CE18F0" w:rsidRDefault="00CE18F0" w:rsidP="00CE18F0">
      <w:pPr>
        <w:pStyle w:val="Heading1"/>
      </w:pPr>
      <w:bookmarkStart w:id="0" w:name="_Toc57823422"/>
      <w:r>
        <w:lastRenderedPageBreak/>
        <w:t>Abstract</w:t>
      </w:r>
      <w:bookmarkEnd w:id="0"/>
    </w:p>
    <w:p w:rsidR="00CE18F0" w:rsidRDefault="00CE18F0" w:rsidP="00CE18F0">
      <w:r>
        <w:t>The APVGDM (Automatic Probabilistic Volcanic Gas Dispersion Modelling) tool is a collection of Python scripts designed to aid the user with the usage of gas dispersion models (both passive gas dispersion and heavy gas flow) and to automatically perform probabilistic simulations. Two open-source Eulerian models are supported: DISGAS 2.0 (Costa et al., 2005; Costa and Macedonio, 2016) and TWODEE-2 (</w:t>
      </w:r>
      <w:proofErr w:type="spellStart"/>
      <w:r>
        <w:t>Hankin</w:t>
      </w:r>
      <w:proofErr w:type="spellEnd"/>
      <w:r>
        <w:t xml:space="preserve"> and </w:t>
      </w:r>
      <w:proofErr w:type="spellStart"/>
      <w:r>
        <w:t>Britter</w:t>
      </w:r>
      <w:proofErr w:type="spellEnd"/>
      <w:r>
        <w:t xml:space="preserve">, 1999; Folch et al., 2009), which are coupled with a mass-consistent Diagnostic Wind Model (DWM, Douglas et al., 1990). Both models are written in Fortran-90 while the APVDGM is implemented through Python v.3.8, an open-source, general-purpose, interpreted high-level programming language. </w:t>
      </w:r>
    </w:p>
    <w:p w:rsidR="00CE18F0" w:rsidRDefault="00973828" w:rsidP="00973828">
      <w:pPr>
        <w:pStyle w:val="Heading1"/>
      </w:pPr>
      <w:bookmarkStart w:id="1" w:name="_Toc57823423"/>
      <w:r>
        <w:t xml:space="preserve">1. </w:t>
      </w:r>
      <w:r w:rsidR="00CE18F0">
        <w:t>Introduction</w:t>
      </w:r>
      <w:bookmarkEnd w:id="1"/>
    </w:p>
    <w:p w:rsidR="00CE18F0" w:rsidRDefault="00CE18F0" w:rsidP="00CE18F0">
      <w:r>
        <w:t xml:space="preserve">Volcanic eruptions are very hazardous events which can have a devastating impact on human settlements worldwide. In the last decades, probabilistic volcanic hazard assessment methodologies have allowed the quantification of intrinsic uncertainties related to volcanic eruptions, which play a fundamental role in risk reduction strategies, making them of interest to both scientists and decision makers (e.g., </w:t>
      </w:r>
      <w:proofErr w:type="spellStart"/>
      <w:r>
        <w:t>Marzocchi</w:t>
      </w:r>
      <w:proofErr w:type="spellEnd"/>
      <w:r>
        <w:t xml:space="preserve"> et al., 2006; Selva et al., 2012</w:t>
      </w:r>
      <w:proofErr w:type="gramStart"/>
      <w:r>
        <w:t>a,b</w:t>
      </w:r>
      <w:proofErr w:type="gramEnd"/>
      <w:r>
        <w:t xml:space="preserve">; Sandri et al., 2016). In this scenario, the study of gas dispersion is a key for the understanding the </w:t>
      </w:r>
      <w:proofErr w:type="spellStart"/>
      <w:r>
        <w:t>physico</w:t>
      </w:r>
      <w:proofErr w:type="spellEnd"/>
      <w:r>
        <w:t xml:space="preserve">-chemical changes occurring in the magmatic feeding system or in the hydrothermal aquifer (i.e., Edmonds et al. 2018; Massaro et al., submitted), irrespective of magmatic and non-magmatic unrest. In last the decades, numerical modelling has investigated on the different </w:t>
      </w:r>
      <w:proofErr w:type="spellStart"/>
      <w:r>
        <w:t>behavior</w:t>
      </w:r>
      <w:proofErr w:type="spellEnd"/>
      <w:r>
        <w:t xml:space="preserve"> of both heavy (e.g. Costa et al., 2008; Folch et al., 2009, 2017) and light volcanic gases (e.g., Costa et al., 2005; Chiodini et al., 2010, Granieri et al., 2013; </w:t>
      </w:r>
      <w:proofErr w:type="spellStart"/>
      <w:r>
        <w:t>Pedone</w:t>
      </w:r>
      <w:proofErr w:type="spellEnd"/>
      <w:r>
        <w:t xml:space="preserve"> et al., 2017) accounting for topographic effects, variation of atmospheric conditions and wind directions. For a gas denser than air, the flow </w:t>
      </w:r>
      <w:proofErr w:type="spellStart"/>
      <w:r>
        <w:t>behavior</w:t>
      </w:r>
      <w:proofErr w:type="spellEnd"/>
      <w:r>
        <w:t xml:space="preserve"> over complex topography is generally described using depth-averaged variables (shallow layer approach, e.g., </w:t>
      </w:r>
      <w:proofErr w:type="spellStart"/>
      <w:r>
        <w:t>Hankin</w:t>
      </w:r>
      <w:proofErr w:type="spellEnd"/>
      <w:r>
        <w:t xml:space="preserve"> and </w:t>
      </w:r>
      <w:proofErr w:type="spellStart"/>
      <w:r>
        <w:t>Britter</w:t>
      </w:r>
      <w:proofErr w:type="spellEnd"/>
      <w:r>
        <w:t xml:space="preserve">, 1999), while for dispersion of a diluted gas passively driven by wind advection and atmospheric turbulence, simpler advection-diffusion equations can be solved (e.g. Prabha and </w:t>
      </w:r>
      <w:proofErr w:type="spellStart"/>
      <w:r>
        <w:t>Mursch-Radlgruber</w:t>
      </w:r>
      <w:proofErr w:type="spellEnd"/>
      <w:r>
        <w:t>, 1999).</w:t>
      </w:r>
    </w:p>
    <w:p w:rsidR="00CE18F0" w:rsidRDefault="00CE18F0" w:rsidP="00CE18F0">
      <w:r>
        <w:t>Here we present a new tool, APVGDM, which is designed to control an automatic simulation routine and environment for DISGAS 2.0 (Costa et al., 2005; Costa and Macedonio, 2016) and TWODEE-2 (</w:t>
      </w:r>
      <w:proofErr w:type="spellStart"/>
      <w:r>
        <w:t>Hankin</w:t>
      </w:r>
      <w:proofErr w:type="spellEnd"/>
      <w:r>
        <w:t xml:space="preserve"> and </w:t>
      </w:r>
      <w:proofErr w:type="spellStart"/>
      <w:r>
        <w:t>Britter</w:t>
      </w:r>
      <w:proofErr w:type="spellEnd"/>
      <w:r>
        <w:t xml:space="preserve">, 1999; Folch et al., 2009) coupled with a mass-consistent Diagnostic Wind Model (DWM, Douglas et al., 1990). By simplifying meteorological data collection and processing and automatizing the generation of input data, the running of the models (when possible in parallel) and the generation of outputs (also graphical), this tool can be </w:t>
      </w:r>
      <w:proofErr w:type="gramStart"/>
      <w:r>
        <w:t>used  to</w:t>
      </w:r>
      <w:proofErr w:type="gramEnd"/>
      <w:r>
        <w:t xml:space="preserve"> provide a probabilistic volcanic gas modelling for volcanic hazard assessment purposes. In particular, DISGAS-2.0 reproduces the passive gas dispersion into the atmosphere, governed by wind and atmospheric turbulence. The model calculates gas concentrations (e.g., CO2) expressed as values in excess of background gas species levels in the air at heights selected by the user in a terrain-following coordinate system. TWODEE-2 simulates heavy gas flow in a calm ambient based on the shallow water equations for fluid depth, depth-averaged horizontal velocities and depth-averaged fluid density. The used shallow layer approach is a good compromise between the complexity of Computational Fluid Dynamics (CFD) models and the simpler integral models. </w:t>
      </w:r>
    </w:p>
    <w:p w:rsidR="00CE18F0" w:rsidRDefault="00CE18F0" w:rsidP="00CE18F0">
      <w:r>
        <w:t xml:space="preserve">In the following we firstly describe the physical models on which the models are based, then we present the APVDGM setup, the folders structure, the </w:t>
      </w:r>
      <w:proofErr w:type="spellStart"/>
      <w:r>
        <w:t>Input/Output</w:t>
      </w:r>
      <w:proofErr w:type="spellEnd"/>
      <w:r>
        <w:t xml:space="preserve"> files and the instructions on how to install and run the code.   </w:t>
      </w:r>
    </w:p>
    <w:p w:rsidR="00973828" w:rsidRDefault="00973828" w:rsidP="00CE18F0"/>
    <w:p w:rsidR="00973828" w:rsidRDefault="00973828" w:rsidP="00CE18F0"/>
    <w:p w:rsidR="00973828" w:rsidRDefault="00973828" w:rsidP="00CE18F0"/>
    <w:p w:rsidR="00CE18F0" w:rsidRDefault="00973828" w:rsidP="00973828">
      <w:pPr>
        <w:pStyle w:val="Heading1"/>
      </w:pPr>
      <w:bookmarkStart w:id="2" w:name="_Toc57823424"/>
      <w:r>
        <w:lastRenderedPageBreak/>
        <w:t xml:space="preserve">2. </w:t>
      </w:r>
      <w:r w:rsidR="00CE18F0">
        <w:t>The numerical models</w:t>
      </w:r>
      <w:bookmarkEnd w:id="2"/>
      <w:r w:rsidR="00CE18F0">
        <w:t xml:space="preserve"> </w:t>
      </w:r>
    </w:p>
    <w:p w:rsidR="00973828" w:rsidRPr="00973828" w:rsidRDefault="00973828" w:rsidP="00973828"/>
    <w:p w:rsidR="00CE18F0" w:rsidRDefault="00973828" w:rsidP="00973828">
      <w:pPr>
        <w:pStyle w:val="Heading2"/>
      </w:pPr>
      <w:bookmarkStart w:id="3" w:name="_Toc57823425"/>
      <w:r>
        <w:t>2</w:t>
      </w:r>
      <w:r w:rsidR="00CE18F0">
        <w:t>.1 DISGAS 2.0: passive gas dispersal model</w:t>
      </w:r>
      <w:bookmarkEnd w:id="3"/>
    </w:p>
    <w:p w:rsidR="00CE18F0" w:rsidRDefault="00CE18F0" w:rsidP="00CE18F0">
      <w:r>
        <w:t xml:space="preserve">The open-source Eulerian DISGAS-2.0 model uses the passive dispersion approach for the dilute gases, solving the advection-diffusion equation for the scaled concentration </w:t>
      </w:r>
      <w:r w:rsidRPr="00973828">
        <w:rPr>
          <w:i/>
        </w:rPr>
        <w:t>C</w:t>
      </w:r>
      <w:r>
        <w:t xml:space="preserve">: </w:t>
      </w:r>
    </w:p>
    <w:p w:rsidR="00CE18F0" w:rsidRPr="00973828" w:rsidRDefault="00973828" w:rsidP="00973828">
      <w:pPr>
        <w:pStyle w:val="ListParagraph"/>
        <w:pBdr>
          <w:top w:val="nil"/>
          <w:left w:val="nil"/>
          <w:bottom w:val="nil"/>
          <w:right w:val="nil"/>
          <w:between w:val="nil"/>
        </w:pBdr>
        <w:spacing w:before="114" w:line="360" w:lineRule="auto"/>
        <w:ind w:left="360"/>
        <w:jc w:val="both"/>
        <w:rPr>
          <w:color w:val="000000"/>
          <w:sz w:val="22"/>
          <w:szCs w:val="22"/>
          <w:lang w:val="en-GB"/>
        </w:rPr>
      </w:pPr>
      <m:oMath>
        <m:f>
          <m:fPr>
            <m:ctrlPr>
              <w:rPr>
                <w:rFonts w:ascii="Cambria Math" w:eastAsia="Cambria Math" w:hAnsi="Cambria Math" w:cs="Cambria Math"/>
                <w:color w:val="000000"/>
                <w:sz w:val="22"/>
                <w:szCs w:val="22"/>
                <w:lang w:val="en-GB"/>
              </w:rPr>
            </m:ctrlPr>
          </m:fPr>
          <m:num>
            <m:r>
              <w:rPr>
                <w:rFonts w:ascii="Cambria Math" w:hAnsi="Cambria Math"/>
                <w:color w:val="000000"/>
                <w:sz w:val="22"/>
                <w:szCs w:val="22"/>
                <w:lang w:val="en-GB"/>
              </w:rPr>
              <m:t>∂</m:t>
            </m:r>
            <m:r>
              <w:rPr>
                <w:rFonts w:ascii="Cambria Math" w:eastAsia="Cambria Math" w:hAnsi="Cambria Math" w:cs="Cambria Math"/>
                <w:color w:val="000000"/>
                <w:sz w:val="22"/>
                <w:szCs w:val="22"/>
                <w:lang w:val="en-GB"/>
              </w:rPr>
              <m:t>C</m:t>
            </m:r>
          </m:num>
          <m:den>
            <m:r>
              <w:rPr>
                <w:rFonts w:ascii="Cambria Math" w:eastAsia="Cambria Math" w:hAnsi="Cambria Math" w:cs="Cambria Math"/>
                <w:color w:val="000000"/>
                <w:sz w:val="22"/>
                <w:szCs w:val="22"/>
                <w:lang w:val="en-GB"/>
              </w:rPr>
              <m:t>∂t</m:t>
            </m:r>
          </m:den>
        </m:f>
        <m:r>
          <m:rPr>
            <m:sty m:val="p"/>
          </m:rPr>
          <w:rPr>
            <w:rFonts w:ascii="Cambria Math" w:eastAsia="Cambria Math" w:hAnsi="Cambria Math" w:cs="Cambria Math"/>
            <w:color w:val="000000"/>
            <w:sz w:val="22"/>
            <w:szCs w:val="22"/>
            <w:lang w:val="en-GB"/>
          </w:rPr>
          <m:t>+</m:t>
        </m:r>
        <m:r>
          <w:rPr>
            <w:rFonts w:ascii="Cambria Math" w:eastAsia="Cambria Math" w:hAnsi="Cambria Math" w:cs="Cambria Math"/>
            <w:color w:val="000000"/>
            <w:sz w:val="22"/>
            <w:szCs w:val="22"/>
            <w:lang w:val="en-GB"/>
          </w:rPr>
          <m:t>U</m:t>
        </m:r>
        <m:f>
          <m:fPr>
            <m:ctrlPr>
              <w:rPr>
                <w:rFonts w:ascii="Cambria Math" w:eastAsia="Cambria Math" w:hAnsi="Cambria Math" w:cs="Cambria Math"/>
                <w:color w:val="000000"/>
                <w:sz w:val="22"/>
                <w:szCs w:val="22"/>
                <w:lang w:val="en-GB"/>
              </w:rPr>
            </m:ctrlPr>
          </m:fPr>
          <m:num>
            <m:r>
              <w:rPr>
                <w:rFonts w:ascii="Cambria Math" w:eastAsia="Cambria Math" w:hAnsi="Cambria Math" w:cs="Cambria Math"/>
                <w:color w:val="000000"/>
                <w:sz w:val="22"/>
                <w:szCs w:val="22"/>
                <w:lang w:val="en-GB"/>
              </w:rPr>
              <m:t>∂C</m:t>
            </m:r>
          </m:num>
          <m:den>
            <m:r>
              <w:rPr>
                <w:rFonts w:ascii="Cambria Math" w:eastAsia="Cambria Math" w:hAnsi="Cambria Math" w:cs="Cambria Math"/>
                <w:color w:val="000000"/>
                <w:sz w:val="22"/>
                <w:szCs w:val="22"/>
                <w:lang w:val="en-GB"/>
              </w:rPr>
              <m:t>∂x</m:t>
            </m:r>
          </m:den>
        </m:f>
        <m:r>
          <m:rPr>
            <m:sty m:val="p"/>
          </m:rPr>
          <w:rPr>
            <w:rFonts w:ascii="Cambria Math" w:eastAsia="Cambria Math" w:hAnsi="Cambria Math" w:cs="Cambria Math"/>
            <w:color w:val="000000"/>
            <w:sz w:val="22"/>
            <w:szCs w:val="22"/>
            <w:lang w:val="en-GB"/>
          </w:rPr>
          <m:t>+</m:t>
        </m:r>
        <m:r>
          <w:rPr>
            <w:rFonts w:ascii="Cambria Math" w:eastAsia="Cambria Math" w:hAnsi="Cambria Math" w:cs="Cambria Math"/>
            <w:color w:val="000000"/>
            <w:sz w:val="22"/>
            <w:szCs w:val="22"/>
            <w:lang w:val="en-GB"/>
          </w:rPr>
          <m:t>V</m:t>
        </m:r>
        <m:f>
          <m:fPr>
            <m:ctrlPr>
              <w:rPr>
                <w:rFonts w:ascii="Cambria Math" w:eastAsia="Cambria Math" w:hAnsi="Cambria Math" w:cs="Cambria Math"/>
                <w:color w:val="000000"/>
                <w:sz w:val="22"/>
                <w:szCs w:val="22"/>
                <w:lang w:val="en-GB"/>
              </w:rPr>
            </m:ctrlPr>
          </m:fPr>
          <m:num>
            <m:r>
              <w:rPr>
                <w:rFonts w:ascii="Cambria Math" w:eastAsia="Cambria Math" w:hAnsi="Cambria Math" w:cs="Cambria Math"/>
                <w:color w:val="000000"/>
                <w:sz w:val="22"/>
                <w:szCs w:val="22"/>
                <w:lang w:val="en-GB"/>
              </w:rPr>
              <m:t>∂C</m:t>
            </m:r>
          </m:num>
          <m:den>
            <m:r>
              <w:rPr>
                <w:rFonts w:ascii="Cambria Math" w:eastAsia="Cambria Math" w:hAnsi="Cambria Math" w:cs="Cambria Math"/>
                <w:color w:val="000000"/>
                <w:sz w:val="22"/>
                <w:szCs w:val="22"/>
                <w:lang w:val="en-GB"/>
              </w:rPr>
              <m:t>∂y</m:t>
            </m:r>
          </m:den>
        </m:f>
        <m:r>
          <m:rPr>
            <m:sty m:val="p"/>
          </m:rPr>
          <w:rPr>
            <w:rFonts w:ascii="Cambria Math" w:eastAsia="Cambria Math" w:hAnsi="Cambria Math" w:cs="Cambria Math"/>
            <w:color w:val="000000"/>
            <w:sz w:val="22"/>
            <w:szCs w:val="22"/>
            <w:lang w:val="en-GB"/>
          </w:rPr>
          <m:t>+</m:t>
        </m:r>
        <m:r>
          <w:rPr>
            <w:rFonts w:ascii="Cambria Math" w:eastAsia="Cambria Math" w:hAnsi="Cambria Math" w:cs="Cambria Math"/>
            <w:color w:val="000000"/>
            <w:sz w:val="22"/>
            <w:szCs w:val="22"/>
            <w:lang w:val="en-GB"/>
          </w:rPr>
          <m:t>W</m:t>
        </m:r>
        <m:f>
          <m:fPr>
            <m:ctrlPr>
              <w:rPr>
                <w:rFonts w:ascii="Cambria Math" w:eastAsia="Cambria Math" w:hAnsi="Cambria Math" w:cs="Cambria Math"/>
                <w:color w:val="000000"/>
                <w:sz w:val="22"/>
                <w:szCs w:val="22"/>
                <w:lang w:val="en-GB"/>
              </w:rPr>
            </m:ctrlPr>
          </m:fPr>
          <m:num>
            <m:r>
              <w:rPr>
                <w:rFonts w:ascii="Cambria Math" w:eastAsia="Cambria Math" w:hAnsi="Cambria Math" w:cs="Cambria Math"/>
                <w:color w:val="000000"/>
                <w:sz w:val="22"/>
                <w:szCs w:val="22"/>
                <w:lang w:val="en-GB"/>
              </w:rPr>
              <m:t>∂C</m:t>
            </m:r>
          </m:num>
          <m:den>
            <m:r>
              <w:rPr>
                <w:rFonts w:ascii="Cambria Math" w:eastAsia="Cambria Math" w:hAnsi="Cambria Math" w:cs="Cambria Math"/>
                <w:color w:val="000000"/>
                <w:sz w:val="22"/>
                <w:szCs w:val="22"/>
                <w:lang w:val="en-GB"/>
              </w:rPr>
              <m:t>∂z</m:t>
            </m:r>
          </m:den>
        </m:f>
        <m:r>
          <m:rPr>
            <m:sty m:val="p"/>
          </m:rPr>
          <w:rPr>
            <w:rFonts w:ascii="Cambria Math" w:eastAsia="Cambria Math" w:hAnsi="Cambria Math" w:cs="Cambria Math"/>
            <w:color w:val="000000"/>
            <w:sz w:val="22"/>
            <w:szCs w:val="22"/>
            <w:lang w:val="en-GB"/>
          </w:rPr>
          <m:t>=</m:t>
        </m:r>
        <m:f>
          <m:fPr>
            <m:ctrlPr>
              <w:rPr>
                <w:rFonts w:ascii="Cambria Math" w:eastAsia="Cambria Math" w:hAnsi="Cambria Math" w:cs="Cambria Math"/>
                <w:color w:val="000000"/>
                <w:sz w:val="22"/>
                <w:szCs w:val="22"/>
                <w:lang w:val="en-GB"/>
              </w:rPr>
            </m:ctrlPr>
          </m:fPr>
          <m:num>
            <m:r>
              <w:rPr>
                <w:rFonts w:ascii="Cambria Math" w:eastAsia="Cambria Math" w:hAnsi="Cambria Math" w:cs="Cambria Math"/>
                <w:color w:val="000000"/>
                <w:sz w:val="22"/>
                <w:szCs w:val="22"/>
                <w:lang w:val="en-GB"/>
              </w:rPr>
              <m:t>∂</m:t>
            </m:r>
          </m:num>
          <m:den>
            <m:r>
              <w:rPr>
                <w:rFonts w:ascii="Cambria Math" w:eastAsia="Cambria Math" w:hAnsi="Cambria Math" w:cs="Cambria Math"/>
                <w:color w:val="000000"/>
                <w:sz w:val="22"/>
                <w:szCs w:val="22"/>
                <w:lang w:val="en-GB"/>
              </w:rPr>
              <m:t>∂t</m:t>
            </m:r>
          </m:den>
        </m:f>
        <m:d>
          <m:dPr>
            <m:ctrlPr>
              <w:rPr>
                <w:rFonts w:ascii="Cambria Math" w:eastAsia="Cambria Math" w:hAnsi="Cambria Math" w:cs="Cambria Math"/>
                <w:color w:val="000000"/>
                <w:sz w:val="22"/>
                <w:szCs w:val="22"/>
                <w:lang w:val="en-GB"/>
              </w:rPr>
            </m:ctrlPr>
          </m:dPr>
          <m:e>
            <m:sSub>
              <m:sSubPr>
                <m:ctrlPr>
                  <w:rPr>
                    <w:rFonts w:ascii="Cambria Math" w:eastAsia="Cambria Math" w:hAnsi="Cambria Math" w:cs="Cambria Math"/>
                    <w:color w:val="000000"/>
                    <w:sz w:val="22"/>
                    <w:szCs w:val="22"/>
                    <w:lang w:val="en-GB"/>
                  </w:rPr>
                </m:ctrlPr>
              </m:sSubPr>
              <m:e>
                <m:r>
                  <w:rPr>
                    <w:rFonts w:ascii="Cambria Math" w:eastAsia="Cambria Math" w:hAnsi="Cambria Math" w:cs="Cambria Math"/>
                    <w:color w:val="000000"/>
                    <w:sz w:val="22"/>
                    <w:szCs w:val="22"/>
                    <w:lang w:val="en-GB"/>
                  </w:rPr>
                  <m:t>K</m:t>
                </m:r>
              </m:e>
              <m:sub>
                <m:r>
                  <w:rPr>
                    <w:rFonts w:ascii="Cambria Math" w:eastAsia="Cambria Math" w:hAnsi="Cambria Math" w:cs="Cambria Math"/>
                    <w:color w:val="000000"/>
                    <w:sz w:val="22"/>
                    <w:szCs w:val="22"/>
                    <w:lang w:val="en-GB"/>
                  </w:rPr>
                  <m:t>h</m:t>
                </m:r>
              </m:sub>
            </m:sSub>
            <m:f>
              <m:fPr>
                <m:ctrlPr>
                  <w:rPr>
                    <w:rFonts w:ascii="Cambria Math" w:eastAsia="Cambria Math" w:hAnsi="Cambria Math" w:cs="Cambria Math"/>
                    <w:color w:val="000000"/>
                    <w:sz w:val="22"/>
                    <w:szCs w:val="22"/>
                    <w:lang w:val="en-GB"/>
                  </w:rPr>
                </m:ctrlPr>
              </m:fPr>
              <m:num>
                <m:r>
                  <w:rPr>
                    <w:rFonts w:ascii="Cambria Math" w:eastAsia="Cambria Math" w:hAnsi="Cambria Math" w:cs="Cambria Math"/>
                    <w:color w:val="000000"/>
                    <w:sz w:val="22"/>
                    <w:szCs w:val="22"/>
                    <w:lang w:val="en-GB"/>
                  </w:rPr>
                  <m:t>∂C</m:t>
                </m:r>
              </m:num>
              <m:den>
                <m:r>
                  <w:rPr>
                    <w:rFonts w:ascii="Cambria Math" w:eastAsia="Cambria Math" w:hAnsi="Cambria Math" w:cs="Cambria Math"/>
                    <w:color w:val="000000"/>
                    <w:sz w:val="22"/>
                    <w:szCs w:val="22"/>
                    <w:lang w:val="en-GB"/>
                  </w:rPr>
                  <m:t>∂x</m:t>
                </m:r>
              </m:den>
            </m:f>
          </m:e>
        </m:d>
        <m:r>
          <m:rPr>
            <m:sty m:val="p"/>
          </m:rPr>
          <w:rPr>
            <w:rFonts w:ascii="Cambria Math" w:eastAsia="Cambria Math" w:hAnsi="Cambria Math" w:cs="Cambria Math"/>
            <w:color w:val="000000"/>
            <w:sz w:val="22"/>
            <w:szCs w:val="22"/>
            <w:lang w:val="en-GB"/>
          </w:rPr>
          <m:t>+</m:t>
        </m:r>
        <m:f>
          <m:fPr>
            <m:ctrlPr>
              <w:rPr>
                <w:rFonts w:ascii="Cambria Math" w:eastAsia="Cambria Math" w:hAnsi="Cambria Math" w:cs="Cambria Math"/>
                <w:color w:val="000000"/>
                <w:sz w:val="22"/>
                <w:szCs w:val="22"/>
                <w:lang w:val="en-GB"/>
              </w:rPr>
            </m:ctrlPr>
          </m:fPr>
          <m:num>
            <m:r>
              <w:rPr>
                <w:rFonts w:ascii="Cambria Math" w:eastAsia="Cambria Math" w:hAnsi="Cambria Math" w:cs="Cambria Math"/>
                <w:color w:val="000000"/>
                <w:sz w:val="22"/>
                <w:szCs w:val="22"/>
                <w:lang w:val="en-GB"/>
              </w:rPr>
              <m:t>∂</m:t>
            </m:r>
          </m:num>
          <m:den>
            <m:r>
              <w:rPr>
                <w:rFonts w:ascii="Cambria Math" w:eastAsia="Cambria Math" w:hAnsi="Cambria Math" w:cs="Cambria Math"/>
                <w:color w:val="000000"/>
                <w:sz w:val="22"/>
                <w:szCs w:val="22"/>
                <w:lang w:val="en-GB"/>
              </w:rPr>
              <m:t>∂y</m:t>
            </m:r>
          </m:den>
        </m:f>
        <m:d>
          <m:dPr>
            <m:ctrlPr>
              <w:rPr>
                <w:rFonts w:ascii="Cambria Math" w:eastAsia="Cambria Math" w:hAnsi="Cambria Math" w:cs="Cambria Math"/>
                <w:color w:val="000000"/>
                <w:sz w:val="22"/>
                <w:szCs w:val="22"/>
                <w:lang w:val="en-GB"/>
              </w:rPr>
            </m:ctrlPr>
          </m:dPr>
          <m:e>
            <m:sSub>
              <m:sSubPr>
                <m:ctrlPr>
                  <w:rPr>
                    <w:rFonts w:ascii="Cambria Math" w:eastAsia="Cambria Math" w:hAnsi="Cambria Math" w:cs="Cambria Math"/>
                    <w:color w:val="000000"/>
                    <w:sz w:val="22"/>
                    <w:szCs w:val="22"/>
                    <w:lang w:val="en-GB"/>
                  </w:rPr>
                </m:ctrlPr>
              </m:sSubPr>
              <m:e>
                <m:r>
                  <w:rPr>
                    <w:rFonts w:ascii="Cambria Math" w:eastAsia="Cambria Math" w:hAnsi="Cambria Math" w:cs="Cambria Math"/>
                    <w:color w:val="000000"/>
                    <w:sz w:val="22"/>
                    <w:szCs w:val="22"/>
                    <w:lang w:val="en-GB"/>
                  </w:rPr>
                  <m:t>K</m:t>
                </m:r>
              </m:e>
              <m:sub>
                <m:r>
                  <w:rPr>
                    <w:rFonts w:ascii="Cambria Math" w:eastAsia="Cambria Math" w:hAnsi="Cambria Math" w:cs="Cambria Math"/>
                    <w:color w:val="000000"/>
                    <w:sz w:val="22"/>
                    <w:szCs w:val="22"/>
                    <w:lang w:val="en-GB"/>
                  </w:rPr>
                  <m:t>h</m:t>
                </m:r>
              </m:sub>
            </m:sSub>
            <m:f>
              <m:fPr>
                <m:ctrlPr>
                  <w:rPr>
                    <w:rFonts w:ascii="Cambria Math" w:eastAsia="Cambria Math" w:hAnsi="Cambria Math" w:cs="Cambria Math"/>
                    <w:color w:val="000000"/>
                    <w:sz w:val="22"/>
                    <w:szCs w:val="22"/>
                    <w:lang w:val="en-GB"/>
                  </w:rPr>
                </m:ctrlPr>
              </m:fPr>
              <m:num>
                <m:r>
                  <w:rPr>
                    <w:rFonts w:ascii="Cambria Math" w:eastAsia="Cambria Math" w:hAnsi="Cambria Math" w:cs="Cambria Math"/>
                    <w:color w:val="000000"/>
                    <w:sz w:val="22"/>
                    <w:szCs w:val="22"/>
                    <w:lang w:val="en-GB"/>
                  </w:rPr>
                  <m:t>∂C</m:t>
                </m:r>
              </m:num>
              <m:den>
                <m:r>
                  <w:rPr>
                    <w:rFonts w:ascii="Cambria Math" w:eastAsia="Cambria Math" w:hAnsi="Cambria Math" w:cs="Cambria Math"/>
                    <w:color w:val="000000"/>
                    <w:sz w:val="22"/>
                    <w:szCs w:val="22"/>
                    <w:lang w:val="en-GB"/>
                  </w:rPr>
                  <m:t>∂y</m:t>
                </m:r>
              </m:den>
            </m:f>
          </m:e>
        </m:d>
        <m:r>
          <m:rPr>
            <m:sty m:val="p"/>
          </m:rPr>
          <w:rPr>
            <w:rFonts w:ascii="Cambria Math" w:eastAsia="Cambria Math" w:hAnsi="Cambria Math" w:cs="Cambria Math"/>
            <w:color w:val="000000"/>
            <w:sz w:val="22"/>
            <w:szCs w:val="22"/>
            <w:lang w:val="en-GB"/>
          </w:rPr>
          <m:t>+</m:t>
        </m:r>
        <m:f>
          <m:fPr>
            <m:ctrlPr>
              <w:rPr>
                <w:rFonts w:ascii="Cambria Math" w:eastAsia="Cambria Math" w:hAnsi="Cambria Math" w:cs="Cambria Math"/>
                <w:color w:val="000000"/>
                <w:sz w:val="22"/>
                <w:szCs w:val="22"/>
                <w:lang w:val="en-GB"/>
              </w:rPr>
            </m:ctrlPr>
          </m:fPr>
          <m:num>
            <m:r>
              <w:rPr>
                <w:rFonts w:ascii="Cambria Math" w:eastAsia="Cambria Math" w:hAnsi="Cambria Math" w:cs="Cambria Math"/>
                <w:color w:val="000000"/>
                <w:sz w:val="22"/>
                <w:szCs w:val="22"/>
                <w:lang w:val="en-GB"/>
              </w:rPr>
              <m:t>∂</m:t>
            </m:r>
          </m:num>
          <m:den>
            <m:r>
              <w:rPr>
                <w:rFonts w:ascii="Cambria Math" w:eastAsia="Cambria Math" w:hAnsi="Cambria Math" w:cs="Cambria Math"/>
                <w:color w:val="000000"/>
                <w:sz w:val="22"/>
                <w:szCs w:val="22"/>
                <w:lang w:val="en-GB"/>
              </w:rPr>
              <m:t>∂z</m:t>
            </m:r>
          </m:den>
        </m:f>
        <m:d>
          <m:dPr>
            <m:ctrlPr>
              <w:rPr>
                <w:rFonts w:ascii="Cambria Math" w:eastAsia="Cambria Math" w:hAnsi="Cambria Math" w:cs="Cambria Math"/>
                <w:color w:val="000000"/>
                <w:sz w:val="22"/>
                <w:szCs w:val="22"/>
                <w:lang w:val="en-GB"/>
              </w:rPr>
            </m:ctrlPr>
          </m:dPr>
          <m:e>
            <m:sSub>
              <m:sSubPr>
                <m:ctrlPr>
                  <w:rPr>
                    <w:rFonts w:ascii="Cambria Math" w:eastAsia="Cambria Math" w:hAnsi="Cambria Math" w:cs="Cambria Math"/>
                    <w:color w:val="000000"/>
                    <w:sz w:val="22"/>
                    <w:szCs w:val="22"/>
                    <w:lang w:val="en-GB"/>
                  </w:rPr>
                </m:ctrlPr>
              </m:sSubPr>
              <m:e>
                <m:r>
                  <w:rPr>
                    <w:rFonts w:ascii="Cambria Math" w:eastAsia="Cambria Math" w:hAnsi="Cambria Math" w:cs="Cambria Math"/>
                    <w:color w:val="000000"/>
                    <w:sz w:val="22"/>
                    <w:szCs w:val="22"/>
                    <w:lang w:val="en-GB"/>
                  </w:rPr>
                  <m:t>K</m:t>
                </m:r>
              </m:e>
              <m:sub>
                <m:r>
                  <w:rPr>
                    <w:rFonts w:ascii="Cambria Math" w:eastAsia="Cambria Math" w:hAnsi="Cambria Math" w:cs="Cambria Math"/>
                    <w:color w:val="000000"/>
                    <w:sz w:val="22"/>
                    <w:szCs w:val="22"/>
                    <w:lang w:val="en-GB"/>
                  </w:rPr>
                  <m:t>z</m:t>
                </m:r>
              </m:sub>
            </m:sSub>
            <m:f>
              <m:fPr>
                <m:ctrlPr>
                  <w:rPr>
                    <w:rFonts w:ascii="Cambria Math" w:eastAsia="Cambria Math" w:hAnsi="Cambria Math" w:cs="Cambria Math"/>
                    <w:color w:val="000000"/>
                    <w:sz w:val="22"/>
                    <w:szCs w:val="22"/>
                    <w:lang w:val="en-GB"/>
                  </w:rPr>
                </m:ctrlPr>
              </m:fPr>
              <m:num>
                <m:r>
                  <w:rPr>
                    <w:rFonts w:ascii="Cambria Math" w:eastAsia="Cambria Math" w:hAnsi="Cambria Math" w:cs="Cambria Math"/>
                    <w:color w:val="000000"/>
                    <w:sz w:val="22"/>
                    <w:szCs w:val="22"/>
                    <w:lang w:val="en-GB"/>
                  </w:rPr>
                  <m:t>∂C</m:t>
                </m:r>
              </m:num>
              <m:den>
                <m:r>
                  <w:rPr>
                    <w:rFonts w:ascii="Cambria Math" w:eastAsia="Cambria Math" w:hAnsi="Cambria Math" w:cs="Cambria Math"/>
                    <w:color w:val="000000"/>
                    <w:sz w:val="22"/>
                    <w:szCs w:val="22"/>
                    <w:lang w:val="en-GB"/>
                  </w:rPr>
                  <m:t>∂z</m:t>
                </m:r>
              </m:den>
            </m:f>
          </m:e>
        </m:d>
        <m:r>
          <m:rPr>
            <m:sty m:val="p"/>
          </m:rPr>
          <w:rPr>
            <w:rFonts w:ascii="Cambria Math" w:eastAsia="Cambria Math" w:hAnsi="Cambria Math" w:cs="Cambria Math"/>
            <w:color w:val="000000"/>
            <w:sz w:val="22"/>
            <w:szCs w:val="22"/>
            <w:lang w:val="en-GB"/>
          </w:rPr>
          <m:t>=</m:t>
        </m:r>
        <m:r>
          <w:rPr>
            <w:rFonts w:ascii="Cambria Math" w:eastAsia="Cambria Math" w:hAnsi="Cambria Math" w:cs="Cambria Math"/>
            <w:color w:val="000000"/>
            <w:sz w:val="22"/>
            <w:szCs w:val="22"/>
            <w:lang w:val="en-GB"/>
          </w:rPr>
          <m:t>Q</m:t>
        </m:r>
      </m:oMath>
      <w:r w:rsidRPr="00B7192C">
        <w:rPr>
          <w:color w:val="000000"/>
          <w:sz w:val="22"/>
          <w:szCs w:val="22"/>
          <w:lang w:val="en-GB"/>
        </w:rPr>
        <w:tab/>
        <w:t xml:space="preserve">             (1)</w:t>
      </w:r>
    </w:p>
    <w:p w:rsidR="00973828" w:rsidRDefault="00973828" w:rsidP="00CE18F0"/>
    <w:p w:rsidR="00CE18F0" w:rsidRDefault="00CE18F0" w:rsidP="00CE18F0">
      <w:r>
        <w:t xml:space="preserve">where </w:t>
      </w:r>
      <w:proofErr w:type="spellStart"/>
      <w:r w:rsidRPr="00973828">
        <w:rPr>
          <w:i/>
        </w:rPr>
        <w:t>t</w:t>
      </w:r>
      <w:proofErr w:type="spellEnd"/>
      <w:r>
        <w:t xml:space="preserve"> is time, (</w:t>
      </w:r>
      <w:r w:rsidRPr="00973828">
        <w:rPr>
          <w:i/>
        </w:rPr>
        <w:t>U, V, W</w:t>
      </w:r>
      <w:r>
        <w:t xml:space="preserve">) are the wind speeds components along the </w:t>
      </w:r>
      <w:r w:rsidRPr="00973828">
        <w:rPr>
          <w:i/>
        </w:rPr>
        <w:t>x</w:t>
      </w:r>
      <w:r>
        <w:t xml:space="preserve">, </w:t>
      </w:r>
      <w:r w:rsidRPr="00973828">
        <w:rPr>
          <w:i/>
        </w:rPr>
        <w:t>y</w:t>
      </w:r>
      <w:r>
        <w:t xml:space="preserve">, </w:t>
      </w:r>
      <w:r w:rsidRPr="00973828">
        <w:rPr>
          <w:i/>
        </w:rPr>
        <w:t>z</w:t>
      </w:r>
      <w:r>
        <w:t xml:space="preserve"> directions, respectively, </w:t>
      </w:r>
      <w:proofErr w:type="spellStart"/>
      <w:r w:rsidRPr="00973828">
        <w:rPr>
          <w:i/>
        </w:rPr>
        <w:t>K</w:t>
      </w:r>
      <w:r w:rsidRPr="00973828">
        <w:rPr>
          <w:i/>
          <w:vertAlign w:val="subscript"/>
        </w:rPr>
        <w:t>h</w:t>
      </w:r>
      <w:proofErr w:type="spellEnd"/>
      <w:r>
        <w:t xml:space="preserve"> and </w:t>
      </w:r>
      <w:proofErr w:type="spellStart"/>
      <w:r w:rsidRPr="00973828">
        <w:rPr>
          <w:i/>
        </w:rPr>
        <w:t>Kz</w:t>
      </w:r>
      <w:proofErr w:type="spellEnd"/>
      <w:r>
        <w:t xml:space="preserve"> are the diagonal scaled diffusion coefficients and </w:t>
      </w:r>
      <w:r w:rsidRPr="00973828">
        <w:rPr>
          <w:i/>
        </w:rPr>
        <w:t>Q</w:t>
      </w:r>
      <w:r>
        <w:t xml:space="preserve"> the source term in the generalized coordinate system. Advective terms in Eq. 1 are discretized according to the second-order Lax–</w:t>
      </w:r>
      <w:proofErr w:type="spellStart"/>
      <w:r>
        <w:t>Wendroff</w:t>
      </w:r>
      <w:proofErr w:type="spellEnd"/>
      <w:r>
        <w:t xml:space="preserve"> scheme (e.g., Lax and </w:t>
      </w:r>
      <w:proofErr w:type="spellStart"/>
      <w:r>
        <w:t>Wendroff</w:t>
      </w:r>
      <w:proofErr w:type="spellEnd"/>
      <w:r>
        <w:t xml:space="preserve">, 1960; Ewing and Wang, 2001). Passive dispersion approach is used when the gas is diluted enough with respect to the surrounding atmosphere, and the validity of such an approximation can be assessed by estimating the Richardson number: </w:t>
      </w:r>
    </w:p>
    <w:p w:rsidR="00973828" w:rsidRPr="00973828" w:rsidRDefault="00973828" w:rsidP="00973828">
      <w:pPr>
        <w:pBdr>
          <w:top w:val="nil"/>
          <w:left w:val="nil"/>
          <w:bottom w:val="nil"/>
          <w:right w:val="nil"/>
          <w:between w:val="nil"/>
        </w:pBdr>
        <w:spacing w:before="114" w:line="360" w:lineRule="auto"/>
        <w:jc w:val="both"/>
        <w:rPr>
          <w:color w:val="000000"/>
        </w:rPr>
      </w:pPr>
      <m:oMath>
        <m:r>
          <w:rPr>
            <w:rFonts w:ascii="Cambria Math" w:eastAsia="Cambria Math" w:hAnsi="Cambria Math" w:cs="Cambria Math"/>
            <w:color w:val="000000"/>
          </w:rPr>
          <m:t>Ri=</m:t>
        </m:r>
        <m:f>
          <m:fPr>
            <m:ctrlPr>
              <w:rPr>
                <w:rFonts w:ascii="Cambria Math" w:eastAsia="Cambria Math" w:hAnsi="Cambria Math" w:cs="Cambria Math"/>
                <w:color w:val="000000"/>
              </w:rPr>
            </m:ctrlPr>
          </m:fPr>
          <m:num>
            <m:r>
              <w:rPr>
                <w:rFonts w:ascii="Cambria Math" w:eastAsia="Cambria Math" w:hAnsi="Cambria Math" w:cs="Cambria Math"/>
                <w:color w:val="000000"/>
              </w:rPr>
              <m:t>1</m:t>
            </m:r>
          </m:num>
          <m:den>
            <m:sSup>
              <m:sSupPr>
                <m:ctrlPr>
                  <w:rPr>
                    <w:rFonts w:ascii="Cambria Math" w:eastAsia="Cambria Math" w:hAnsi="Cambria Math" w:cs="Cambria Math"/>
                    <w:color w:val="000000"/>
                  </w:rPr>
                </m:ctrlPr>
              </m:sSupPr>
              <m:e>
                <m:r>
                  <w:rPr>
                    <w:rFonts w:ascii="Cambria Math" w:eastAsia="Cambria Math" w:hAnsi="Cambria Math" w:cs="Cambria Math"/>
                    <w:color w:val="000000"/>
                  </w:rPr>
                  <m:t>v</m:t>
                </m:r>
              </m:e>
              <m:sup>
                <m:r>
                  <w:rPr>
                    <w:rFonts w:ascii="Cambria Math" w:eastAsia="Cambria Math" w:hAnsi="Cambria Math" w:cs="Cambria Math"/>
                    <w:color w:val="000000"/>
                  </w:rPr>
                  <m:t>2</m:t>
                </m:r>
              </m:sup>
            </m:sSup>
          </m:den>
        </m:f>
        <m:f>
          <m:fPr>
            <m:ctrlPr>
              <w:rPr>
                <w:rFonts w:ascii="Cambria Math" w:eastAsia="Cambria Math" w:hAnsi="Cambria Math" w:cs="Cambria Math"/>
                <w:color w:val="000000"/>
              </w:rPr>
            </m:ctrlPr>
          </m:fPr>
          <m:num>
            <m:sSup>
              <m:sSupPr>
                <m:ctrlPr>
                  <w:rPr>
                    <w:rFonts w:ascii="Cambria Math" w:eastAsia="Cambria Math" w:hAnsi="Cambria Math" w:cs="Cambria Math"/>
                    <w:color w:val="000000"/>
                  </w:rPr>
                </m:ctrlPr>
              </m:sSupPr>
              <m:e>
                <m:d>
                  <m:dPr>
                    <m:ctrlPr>
                      <w:rPr>
                        <w:rFonts w:ascii="Cambria Math" w:eastAsia="Cambria Math" w:hAnsi="Cambria Math" w:cs="Cambria Math"/>
                        <w:color w:val="000000"/>
                      </w:rPr>
                    </m:ctrlPr>
                  </m:dPr>
                  <m:e>
                    <m:f>
                      <m:fPr>
                        <m:ctrlPr>
                          <w:rPr>
                            <w:rFonts w:ascii="Cambria Math" w:eastAsia="Cambria Math" w:hAnsi="Cambria Math" w:cs="Cambria Math"/>
                            <w:color w:val="000000"/>
                          </w:rPr>
                        </m:ctrlPr>
                      </m:fPr>
                      <m:num>
                        <m:r>
                          <w:rPr>
                            <w:rFonts w:ascii="Cambria Math" w:eastAsia="Cambria Math" w:hAnsi="Cambria Math" w:cs="Cambria Math"/>
                            <w:color w:val="000000"/>
                          </w:rPr>
                          <m:t>g</m:t>
                        </m:r>
                        <m:d>
                          <m:dPr>
                            <m:ctrlPr>
                              <w:rPr>
                                <w:rFonts w:ascii="Cambria Math" w:eastAsia="Cambria Math" w:hAnsi="Cambria Math" w:cs="Cambria Math"/>
                                <w:color w:val="000000"/>
                              </w:rPr>
                            </m:ctrlPr>
                          </m:dPr>
                          <m:e>
                            <m:r>
                              <w:rPr>
                                <w:rFonts w:ascii="Cambria Math" w:eastAsia="Cambria Math" w:hAnsi="Cambria Math" w:cs="Cambria Math"/>
                                <w:color w:val="000000"/>
                              </w:rPr>
                              <m:t>g-a</m:t>
                            </m:r>
                          </m:e>
                        </m:d>
                      </m:num>
                      <m:den>
                        <m:r>
                          <w:rPr>
                            <w:rFonts w:ascii="Cambria Math" w:eastAsia="Cambria Math" w:hAnsi="Cambria Math" w:cs="Cambria Math"/>
                            <w:color w:val="000000"/>
                          </w:rPr>
                          <m:t>a</m:t>
                        </m:r>
                      </m:den>
                    </m:f>
                    <m:r>
                      <w:rPr>
                        <w:rFonts w:ascii="Cambria Math" w:eastAsia="Cambria Math" w:hAnsi="Cambria Math" w:cs="Cambria Math"/>
                        <w:color w:val="000000"/>
                      </w:rPr>
                      <m:t>-q</m:t>
                    </m:r>
                  </m:e>
                </m:d>
              </m:e>
              <m:sup>
                <m:f>
                  <m:fPr>
                    <m:ctrlPr>
                      <w:rPr>
                        <w:rFonts w:ascii="Cambria Math" w:eastAsia="Cambria Math" w:hAnsi="Cambria Math" w:cs="Cambria Math"/>
                        <w:color w:val="000000"/>
                      </w:rPr>
                    </m:ctrlPr>
                  </m:fPr>
                  <m:num>
                    <m:r>
                      <w:rPr>
                        <w:rFonts w:ascii="Cambria Math" w:eastAsia="Cambria Math" w:hAnsi="Cambria Math" w:cs="Cambria Math"/>
                        <w:color w:val="000000"/>
                      </w:rPr>
                      <m:t>2</m:t>
                    </m:r>
                  </m:num>
                  <m:den>
                    <m:r>
                      <w:rPr>
                        <w:rFonts w:ascii="Cambria Math" w:eastAsia="Cambria Math" w:hAnsi="Cambria Math" w:cs="Cambria Math"/>
                        <w:color w:val="000000"/>
                      </w:rPr>
                      <m:t>3</m:t>
                    </m:r>
                  </m:den>
                </m:f>
              </m:sup>
            </m:sSup>
          </m:num>
          <m:den>
            <m:sSup>
              <m:sSupPr>
                <m:ctrlPr>
                  <w:rPr>
                    <w:rFonts w:ascii="Cambria Math" w:eastAsia="Cambria Math" w:hAnsi="Cambria Math" w:cs="Cambria Math"/>
                    <w:color w:val="000000"/>
                  </w:rPr>
                </m:ctrlPr>
              </m:sSupPr>
              <m:e>
                <m:r>
                  <w:rPr>
                    <w:rFonts w:ascii="Cambria Math" w:eastAsia="Cambria Math" w:hAnsi="Cambria Math" w:cs="Cambria Math"/>
                    <w:color w:val="000000"/>
                  </w:rPr>
                  <m:t>R</m:t>
                </m:r>
              </m:e>
              <m:sup>
                <m:f>
                  <m:fPr>
                    <m:ctrlPr>
                      <w:rPr>
                        <w:rFonts w:ascii="Cambria Math" w:eastAsia="Cambria Math" w:hAnsi="Cambria Math" w:cs="Cambria Math"/>
                        <w:color w:val="000000"/>
                      </w:rPr>
                    </m:ctrlPr>
                  </m:fPr>
                  <m:num>
                    <m:r>
                      <w:rPr>
                        <w:rFonts w:ascii="Cambria Math" w:eastAsia="Cambria Math" w:hAnsi="Cambria Math" w:cs="Cambria Math"/>
                        <w:color w:val="000000"/>
                      </w:rPr>
                      <m:t>2</m:t>
                    </m:r>
                  </m:num>
                  <m:den>
                    <m:r>
                      <w:rPr>
                        <w:rFonts w:ascii="Cambria Math" w:eastAsia="Cambria Math" w:hAnsi="Cambria Math" w:cs="Cambria Math"/>
                        <w:color w:val="000000"/>
                      </w:rPr>
                      <m:t>3</m:t>
                    </m:r>
                  </m:den>
                </m:f>
              </m:sup>
            </m:sSup>
          </m:den>
        </m:f>
      </m:oMath>
      <w:r w:rsidRPr="00B7192C">
        <w:rPr>
          <w:color w:val="000000"/>
        </w:rPr>
        <w:t xml:space="preserve">    </w:t>
      </w:r>
      <w:r w:rsidRPr="00B7192C">
        <w:rPr>
          <w:color w:val="000000"/>
        </w:rPr>
        <w:tab/>
      </w:r>
      <w:r w:rsidRPr="00B7192C">
        <w:rPr>
          <w:color w:val="000000"/>
        </w:rPr>
        <w:tab/>
      </w:r>
      <w:r w:rsidRPr="00B7192C">
        <w:rPr>
          <w:color w:val="000000"/>
        </w:rPr>
        <w:tab/>
      </w:r>
      <w:r w:rsidRPr="00B7192C">
        <w:rPr>
          <w:color w:val="000000"/>
        </w:rPr>
        <w:tab/>
      </w:r>
      <w:r w:rsidRPr="00B7192C">
        <w:rPr>
          <w:color w:val="000000"/>
        </w:rPr>
        <w:tab/>
      </w:r>
      <w:r w:rsidRPr="00B7192C">
        <w:rPr>
          <w:color w:val="000000"/>
        </w:rPr>
        <w:tab/>
        <w:t xml:space="preserve">   </w:t>
      </w:r>
      <w:r w:rsidRPr="00B7192C">
        <w:rPr>
          <w:color w:val="000000"/>
        </w:rPr>
        <w:tab/>
      </w:r>
      <w:r w:rsidRPr="00B7192C">
        <w:rPr>
          <w:color w:val="000000"/>
        </w:rPr>
        <w:tab/>
      </w:r>
      <w:r w:rsidRPr="00B7192C">
        <w:rPr>
          <w:color w:val="000000"/>
        </w:rPr>
        <w:tab/>
        <w:t>(2)</w:t>
      </w:r>
    </w:p>
    <w:p w:rsidR="00CE18F0" w:rsidRDefault="00CE18F0" w:rsidP="00CE18F0">
      <w:r>
        <w:t xml:space="preserve">Where </w:t>
      </w:r>
      <w:proofErr w:type="spellStart"/>
      <w:r w:rsidRPr="00973828">
        <w:rPr>
          <w:i/>
        </w:rPr>
        <w:t>ρ</w:t>
      </w:r>
      <w:r w:rsidRPr="00973828">
        <w:rPr>
          <w:i/>
          <w:vertAlign w:val="subscript"/>
        </w:rPr>
        <w:t>g</w:t>
      </w:r>
      <w:proofErr w:type="spellEnd"/>
      <w:r>
        <w:t xml:space="preserve"> and </w:t>
      </w:r>
      <w:proofErr w:type="spellStart"/>
      <w:r w:rsidRPr="00973828">
        <w:rPr>
          <w:i/>
        </w:rPr>
        <w:t>ρ</w:t>
      </w:r>
      <w:r w:rsidRPr="00973828">
        <w:rPr>
          <w:i/>
          <w:vertAlign w:val="subscript"/>
        </w:rPr>
        <w:t>a</w:t>
      </w:r>
      <w:proofErr w:type="spellEnd"/>
      <w:r>
        <w:t xml:space="preserve"> are the air and the gas densities respectively, </w:t>
      </w:r>
      <w:r w:rsidRPr="00973828">
        <w:rPr>
          <w:i/>
        </w:rPr>
        <w:t>q</w:t>
      </w:r>
      <w:r>
        <w:t xml:space="preserve"> is the volumetric flow rate, </w:t>
      </w:r>
      <w:r w:rsidRPr="00973828">
        <w:rPr>
          <w:i/>
        </w:rPr>
        <w:t>R</w:t>
      </w:r>
      <w:r>
        <w:t xml:space="preserve"> the plume size (e.g., plume radius), and </w:t>
      </w:r>
      <w:r w:rsidRPr="00973828">
        <w:rPr>
          <w:i/>
        </w:rPr>
        <w:t>v</w:t>
      </w:r>
      <w:r>
        <w:t xml:space="preserve"> is the wind velocity at the reference altitude (i.e. 10 m). For </w:t>
      </w:r>
      <w:r w:rsidRPr="00973828">
        <w:rPr>
          <w:i/>
        </w:rPr>
        <w:t>Ri</w:t>
      </w:r>
      <w:r>
        <w:t xml:space="preserve"> &lt; 0.25 transport is substantially passive whereas for </w:t>
      </w:r>
      <w:r w:rsidRPr="00973828">
        <w:rPr>
          <w:i/>
        </w:rPr>
        <w:t>Ri</w:t>
      </w:r>
      <w:r>
        <w:t xml:space="preserve"> &gt;1 is mainly density driven (</w:t>
      </w:r>
      <w:proofErr w:type="spellStart"/>
      <w:r>
        <w:t>Cortis</w:t>
      </w:r>
      <w:proofErr w:type="spellEnd"/>
      <w:r>
        <w:t xml:space="preserve"> and Oldenburg, 2009; Costa et al., 2013). According to this approach, gas transport is off-line coupled with the output of the wind field. </w:t>
      </w:r>
    </w:p>
    <w:p w:rsidR="00CE18F0" w:rsidRDefault="00CE18F0" w:rsidP="00CE18F0">
      <w:r>
        <w:t xml:space="preserve">The wind field can be evaluated through two options: SIMILARITY option, assuming a horizontal wind profile calculated in accord to the </w:t>
      </w:r>
      <w:proofErr w:type="spellStart"/>
      <w:r>
        <w:t>Monin-Obukhov</w:t>
      </w:r>
      <w:proofErr w:type="spellEnd"/>
      <w:r>
        <w:t xml:space="preserve"> similarity theory (e.g., </w:t>
      </w:r>
      <w:proofErr w:type="spellStart"/>
      <w:r>
        <w:t>Monin</w:t>
      </w:r>
      <w:proofErr w:type="spellEnd"/>
      <w:r>
        <w:t xml:space="preserve"> and </w:t>
      </w:r>
      <w:proofErr w:type="spellStart"/>
      <w:r>
        <w:t>Yaglom</w:t>
      </w:r>
      <w:proofErr w:type="spellEnd"/>
      <w:r>
        <w:t>, 1979; Byun 1990), or DIAGNO option, a mass-consistent Diagnostic Wind Model (DWM; Douglas et al., 1990; see next paragraph) to calculate the wind field over a realistic topography model.  In this study, we use DIAGNO option. The input data in the coupled DWM-DISGAS-2.0 model include topography, terrain roughness, meteorological data, atmospheric stability information, and gas flow rates from the gas. The model yields concentrations expressed as values in excess of background gas species levels in the air at heights selected by the user. It does not account for the chemical reactivity of components and also neglects gas solubility in condensing H2O droplets. A full description of the physical model can be found in Costa and Macedonio (2016).</w:t>
      </w:r>
    </w:p>
    <w:p w:rsidR="008A1B8C" w:rsidRDefault="008A1B8C" w:rsidP="00CE18F0"/>
    <w:p w:rsidR="00CE18F0" w:rsidRDefault="008A1B8C" w:rsidP="008A1B8C">
      <w:pPr>
        <w:pStyle w:val="Heading2"/>
      </w:pPr>
      <w:bookmarkStart w:id="4" w:name="_Toc57823426"/>
      <w:r>
        <w:t>2.</w:t>
      </w:r>
      <w:r w:rsidR="00CE18F0">
        <w:t>2 TWODEE-2: dense gas dispersal model</w:t>
      </w:r>
      <w:bookmarkEnd w:id="4"/>
      <w:r w:rsidR="00CE18F0">
        <w:t xml:space="preserve"> </w:t>
      </w:r>
    </w:p>
    <w:p w:rsidR="008A1B8C" w:rsidRDefault="00CE18F0" w:rsidP="008A1B8C">
      <w:r>
        <w:t xml:space="preserve">The open-source Eulerian TWODEE-2 code solves a time-dependent model for the flow of a heavy gas based on the shallow layer approach. It is built on the depth-averaged equations for a gas cloud resulting from mixing a gas of density </w:t>
      </w:r>
      <w:proofErr w:type="spellStart"/>
      <w:r>
        <w:t>ρg</w:t>
      </w:r>
      <w:proofErr w:type="spellEnd"/>
      <w:r>
        <w:t xml:space="preserve"> with an ambient fluid (air) of density </w:t>
      </w:r>
      <w:proofErr w:type="spellStart"/>
      <w:r w:rsidRPr="008A1B8C">
        <w:rPr>
          <w:i/>
        </w:rPr>
        <w:t>ρ</w:t>
      </w:r>
      <w:r w:rsidRPr="008A1B8C">
        <w:rPr>
          <w:i/>
          <w:vertAlign w:val="subscript"/>
        </w:rPr>
        <w:t>a</w:t>
      </w:r>
      <w:proofErr w:type="spellEnd"/>
      <w:r>
        <w:t xml:space="preserve"> (</w:t>
      </w:r>
      <w:proofErr w:type="spellStart"/>
      <w:r w:rsidRPr="008A1B8C">
        <w:rPr>
          <w:i/>
        </w:rPr>
        <w:t>ρ</w:t>
      </w:r>
      <w:r w:rsidRPr="008A1B8C">
        <w:rPr>
          <w:i/>
          <w:vertAlign w:val="subscript"/>
        </w:rPr>
        <w:t>g</w:t>
      </w:r>
      <w:proofErr w:type="spellEnd"/>
      <w:r>
        <w:t xml:space="preserve"> &gt; </w:t>
      </w:r>
      <w:proofErr w:type="spellStart"/>
      <w:r w:rsidRPr="008A1B8C">
        <w:rPr>
          <w:i/>
        </w:rPr>
        <w:t>ρ</w:t>
      </w:r>
      <w:r w:rsidRPr="008A1B8C">
        <w:rPr>
          <w:i/>
          <w:vertAlign w:val="subscript"/>
        </w:rPr>
        <w:t>a</w:t>
      </w:r>
      <w:proofErr w:type="spellEnd"/>
      <w:r>
        <w:t xml:space="preserve">). TWODEE-2 is derived from the optimization and improvement of a previous Fortran-77 version developed by </w:t>
      </w:r>
      <w:proofErr w:type="spellStart"/>
      <w:r>
        <w:t>Hankin</w:t>
      </w:r>
      <w:proofErr w:type="spellEnd"/>
      <w:r>
        <w:t xml:space="preserve"> and </w:t>
      </w:r>
      <w:proofErr w:type="spellStart"/>
      <w:r>
        <w:t>Britter</w:t>
      </w:r>
      <w:proofErr w:type="spellEnd"/>
      <w:r>
        <w:t xml:space="preserve"> (1999). Under the assumption that </w:t>
      </w:r>
      <w:r w:rsidRPr="008A1B8C">
        <w:rPr>
          <w:i/>
        </w:rPr>
        <w:t>h/L</w:t>
      </w:r>
      <w:r>
        <w:t xml:space="preserve"> </w:t>
      </w:r>
      <w:r>
        <w:rPr>
          <w:rFonts w:ascii="Cambria Math" w:hAnsi="Cambria Math" w:cs="Cambria Math"/>
        </w:rPr>
        <w:t>≪</w:t>
      </w:r>
      <w:r>
        <w:t xml:space="preserve"> 1 (h being the gas cloud depth and L a characteristic length), the 2D shallow-layer approach allows a compromise between more realistic but computationally demanding 3D CFD models and simpler 1D integral models. Such an approach is able to describe the cloud in terms of four variables: cloud depth, two depth- averaged horizontal velocities, and depth-averaged cloud density as functions of time and position. Since real clouds do not have a definite upper surface it is necessary to define cloud depth in terms of the vertical concentration distribution (Folch et al., 2007; 2009). Assuming an incompressible </w:t>
      </w:r>
      <w:r>
        <w:lastRenderedPageBreak/>
        <w:t xml:space="preserve">homogeneous fluid and a hydrostatic pressure distribution, the shallow water equations for flows having a non-uniform vertical profile are given by: </w:t>
      </w:r>
    </w:p>
    <w:p w:rsidR="008A1B8C" w:rsidRPr="008A1B8C" w:rsidRDefault="008A1B8C" w:rsidP="008A1B8C">
      <m:oMath>
        <m:f>
          <m:fPr>
            <m:ctrlPr>
              <w:rPr>
                <w:rFonts w:ascii="Cambria Math" w:eastAsia="Cambria Math" w:hAnsi="Cambria Math" w:cs="Cambria Math"/>
                <w:color w:val="000000"/>
              </w:rPr>
            </m:ctrlPr>
          </m:fPr>
          <m:num>
            <m:r>
              <w:rPr>
                <w:rFonts w:ascii="Cambria Math" w:hAnsi="Cambria Math"/>
                <w:color w:val="000000"/>
              </w:rPr>
              <m:t>∂</m:t>
            </m:r>
            <m:r>
              <w:rPr>
                <w:rFonts w:ascii="Cambria Math" w:eastAsia="Cambria Math" w:hAnsi="Cambria Math" w:cs="Cambria Math"/>
                <w:color w:val="000000"/>
              </w:rPr>
              <m:t>h</m:t>
            </m:r>
          </m:num>
          <m:den>
            <m:r>
              <w:rPr>
                <w:rFonts w:ascii="Cambria Math" w:eastAsia="Cambria Math" w:hAnsi="Cambria Math" w:cs="Cambria Math"/>
                <w:color w:val="000000"/>
              </w:rPr>
              <m:t>∂t</m:t>
            </m:r>
          </m:den>
        </m:f>
        <m:r>
          <m:rPr>
            <m:sty m:val="p"/>
          </m:rPr>
          <w:rPr>
            <w:rFonts w:ascii="Cambria Math" w:eastAsia="Cambria Math" w:hAnsi="Cambria Math" w:cs="Cambria Math"/>
            <w:color w:val="000000"/>
          </w:rPr>
          <m:t xml:space="preserve">+ </m:t>
        </m:r>
        <m:f>
          <m:fPr>
            <m:ctrlPr>
              <w:rPr>
                <w:rFonts w:ascii="Cambria Math" w:eastAsia="Cambria Math" w:hAnsi="Cambria Math" w:cs="Cambria Math"/>
                <w:color w:val="000000"/>
              </w:rPr>
            </m:ctrlPr>
          </m:fPr>
          <m:num>
            <m:r>
              <w:rPr>
                <w:rFonts w:ascii="Cambria Math" w:hAnsi="Cambria Math"/>
                <w:color w:val="000000"/>
              </w:rPr>
              <m:t>∂</m:t>
            </m:r>
            <m:r>
              <w:rPr>
                <w:rFonts w:ascii="Cambria Math" w:eastAsia="Cambria Math" w:hAnsi="Cambria Math" w:cs="Cambria Math"/>
                <w:color w:val="000000"/>
              </w:rPr>
              <m:t>h</m:t>
            </m:r>
            <m:acc>
              <m:accPr>
                <m:chr m:val="̅"/>
                <m:ctrlPr>
                  <w:rPr>
                    <w:rFonts w:ascii="Cambria Math" w:eastAsia="Cambria Math" w:hAnsi="Cambria Math" w:cs="Cambria Math"/>
                    <w:i/>
                    <w:color w:val="000000"/>
                  </w:rPr>
                </m:ctrlPr>
              </m:accPr>
              <m:e>
                <m:r>
                  <w:rPr>
                    <w:rFonts w:ascii="Cambria Math" w:eastAsia="Cambria Math" w:hAnsi="Cambria Math" w:cs="Cambria Math"/>
                    <w:color w:val="000000"/>
                  </w:rPr>
                  <m:t>u</m:t>
                </m:r>
              </m:e>
            </m:acc>
          </m:num>
          <m:den>
            <m:r>
              <w:rPr>
                <w:rFonts w:ascii="Cambria Math" w:eastAsia="Cambria Math" w:hAnsi="Cambria Math" w:cs="Cambria Math"/>
                <w:color w:val="000000"/>
              </w:rPr>
              <m:t>∂x</m:t>
            </m:r>
          </m:den>
        </m:f>
        <m:r>
          <m:rPr>
            <m:sty m:val="p"/>
          </m:rPr>
          <w:rPr>
            <w:rFonts w:ascii="Cambria Math" w:eastAsia="Cambria Math" w:hAnsi="Cambria Math" w:cs="Cambria Math"/>
            <w:color w:val="000000"/>
          </w:rPr>
          <m:t xml:space="preserve">+ </m:t>
        </m:r>
        <m:f>
          <m:fPr>
            <m:ctrlPr>
              <w:rPr>
                <w:rFonts w:ascii="Cambria Math" w:eastAsia="Cambria Math" w:hAnsi="Cambria Math" w:cs="Cambria Math"/>
                <w:color w:val="000000"/>
              </w:rPr>
            </m:ctrlPr>
          </m:fPr>
          <m:num>
            <m:r>
              <w:rPr>
                <w:rFonts w:ascii="Cambria Math" w:hAnsi="Cambria Math"/>
                <w:color w:val="000000"/>
              </w:rPr>
              <m:t>∂</m:t>
            </m:r>
            <m:r>
              <w:rPr>
                <w:rFonts w:ascii="Cambria Math" w:eastAsia="Cambria Math" w:hAnsi="Cambria Math" w:cs="Cambria Math"/>
                <w:color w:val="000000"/>
              </w:rPr>
              <m:t>h</m:t>
            </m:r>
            <m:acc>
              <m:accPr>
                <m:chr m:val="̅"/>
                <m:ctrlPr>
                  <w:rPr>
                    <w:rFonts w:ascii="Cambria Math" w:eastAsia="Cambria Math" w:hAnsi="Cambria Math" w:cs="Cambria Math"/>
                    <w:i/>
                    <w:color w:val="000000"/>
                  </w:rPr>
                </m:ctrlPr>
              </m:accPr>
              <m:e>
                <m:r>
                  <w:rPr>
                    <w:rFonts w:ascii="Cambria Math" w:eastAsia="Cambria Math" w:hAnsi="Cambria Math" w:cs="Cambria Math"/>
                    <w:color w:val="000000"/>
                  </w:rPr>
                  <m:t>v</m:t>
                </m:r>
              </m:e>
            </m:acc>
          </m:num>
          <m:den>
            <m:r>
              <w:rPr>
                <w:rFonts w:ascii="Cambria Math" w:eastAsia="Cambria Math" w:hAnsi="Cambria Math" w:cs="Cambria Math"/>
                <w:color w:val="000000"/>
              </w:rPr>
              <m:t>∂y</m:t>
            </m:r>
          </m:den>
        </m:f>
        <m:r>
          <m:rPr>
            <m:sty m:val="p"/>
          </m:rPr>
          <w:rPr>
            <w:rFonts w:ascii="Cambria Math" w:eastAsia="Cambria Math" w:hAnsi="Cambria Math" w:cs="Cambria Math"/>
            <w:color w:val="000000"/>
          </w:rPr>
          <m:t xml:space="preserve">= </m:t>
        </m:r>
        <m:sSub>
          <m:sSubPr>
            <m:ctrlPr>
              <w:rPr>
                <w:rFonts w:ascii="Cambria Math" w:eastAsia="Cambria Math" w:hAnsi="Cambria Math" w:cs="Cambria Math"/>
                <w:i/>
                <w:color w:val="000000"/>
              </w:rPr>
            </m:ctrlPr>
          </m:sSubPr>
          <m:e>
            <m:r>
              <w:rPr>
                <w:rFonts w:ascii="Cambria Math" w:eastAsia="Cambria Math" w:hAnsi="Cambria Math" w:cs="Cambria Math"/>
                <w:color w:val="000000"/>
              </w:rPr>
              <m:t>u</m:t>
            </m:r>
          </m:e>
          <m:sub>
            <m:r>
              <w:rPr>
                <w:rFonts w:ascii="Cambria Math" w:eastAsia="Cambria Math" w:hAnsi="Cambria Math" w:cs="Cambria Math"/>
                <w:color w:val="000000"/>
              </w:rPr>
              <m:t>entr</m:t>
            </m:r>
          </m:sub>
        </m:sSub>
      </m:oMath>
      <w:r w:rsidRPr="00B7192C">
        <w:rPr>
          <w:rFonts w:eastAsia="Cambria" w:cs="Cambria"/>
          <w:color w:val="000000"/>
        </w:rPr>
        <w:t xml:space="preserve">   </w:t>
      </w:r>
      <w:r w:rsidRPr="00B7192C">
        <w:rPr>
          <w:rFonts w:eastAsia="Cambria" w:cs="Cambria"/>
          <w:color w:val="000000"/>
        </w:rPr>
        <w:tab/>
      </w:r>
      <w:r w:rsidRPr="00B7192C">
        <w:rPr>
          <w:rFonts w:eastAsia="Cambria" w:cs="Cambria"/>
          <w:color w:val="000000"/>
        </w:rPr>
        <w:tab/>
      </w:r>
      <w:r w:rsidRPr="00B7192C">
        <w:rPr>
          <w:rFonts w:eastAsia="Cambria" w:cs="Cambria"/>
          <w:color w:val="000000"/>
        </w:rPr>
        <w:tab/>
        <w:t xml:space="preserve"> (3)</w:t>
      </w:r>
    </w:p>
    <w:p w:rsidR="00CE18F0" w:rsidRDefault="00CE18F0" w:rsidP="00CE18F0">
      <w:r>
        <w:t xml:space="preserve">where </w:t>
      </w:r>
      <w:proofErr w:type="spellStart"/>
      <w:r w:rsidRPr="008A1B8C">
        <w:rPr>
          <w:i/>
        </w:rPr>
        <w:t>t</w:t>
      </w:r>
      <w:proofErr w:type="spellEnd"/>
      <w:r>
        <w:t xml:space="preserve"> is the time, </w:t>
      </w:r>
      <w:r w:rsidRPr="008A1B8C">
        <w:rPr>
          <w:i/>
        </w:rPr>
        <w:t>h</w:t>
      </w:r>
      <w:r>
        <w:t xml:space="preserve"> is the cloud depth,</w:t>
      </w:r>
      <w:r w:rsidR="008A1B8C">
        <w:t xml:space="preserve"> </w:t>
      </w:r>
      <m:oMath>
        <m:acc>
          <m:accPr>
            <m:chr m:val="̅"/>
            <m:ctrlPr>
              <w:rPr>
                <w:rFonts w:ascii="Cambria Math" w:eastAsia="Cambria Math" w:hAnsi="Cambria Math" w:cs="Cambria Math"/>
                <w:i/>
                <w:color w:val="000000"/>
              </w:rPr>
            </m:ctrlPr>
          </m:accPr>
          <m:e>
            <m:r>
              <w:rPr>
                <w:rFonts w:ascii="Cambria Math" w:eastAsia="Cambria Math" w:hAnsi="Cambria Math" w:cs="Cambria Math"/>
                <w:color w:val="000000"/>
              </w:rPr>
              <m:t>u</m:t>
            </m:r>
          </m:e>
        </m:acc>
      </m:oMath>
      <w:r w:rsidR="008A1B8C">
        <w:rPr>
          <w:rFonts w:eastAsiaTheme="minorEastAsia"/>
          <w:color w:val="000000"/>
        </w:rPr>
        <w:t xml:space="preserve"> and </w:t>
      </w:r>
      <m:oMath>
        <m:acc>
          <m:accPr>
            <m:chr m:val="̅"/>
            <m:ctrlPr>
              <w:rPr>
                <w:rFonts w:ascii="Cambria Math" w:eastAsia="Cambria Math" w:hAnsi="Cambria Math" w:cs="Cambria Math"/>
                <w:i/>
                <w:color w:val="000000"/>
              </w:rPr>
            </m:ctrlPr>
          </m:accPr>
          <m:e>
            <m:r>
              <w:rPr>
                <w:rFonts w:ascii="Cambria Math" w:eastAsia="Cambria Math" w:hAnsi="Cambria Math" w:cs="Cambria Math"/>
                <w:color w:val="000000"/>
              </w:rPr>
              <m:t>v</m:t>
            </m:r>
          </m:e>
        </m:acc>
      </m:oMath>
      <w:r>
        <w:t xml:space="preserve"> the depth-averaged velocities along </w:t>
      </w:r>
      <w:r w:rsidRPr="008A1B8C">
        <w:rPr>
          <w:i/>
        </w:rPr>
        <w:t>x</w:t>
      </w:r>
      <w:r>
        <w:t xml:space="preserve"> and </w:t>
      </w:r>
      <w:r w:rsidRPr="008A1B8C">
        <w:rPr>
          <w:i/>
        </w:rPr>
        <w:t>y</w:t>
      </w:r>
      <w:r>
        <w:t xml:space="preserve"> respectively, and </w:t>
      </w:r>
      <w:proofErr w:type="spellStart"/>
      <w:r w:rsidRPr="008A1B8C">
        <w:rPr>
          <w:i/>
        </w:rPr>
        <w:t>u</w:t>
      </w:r>
      <w:r w:rsidRPr="008A1B8C">
        <w:rPr>
          <w:i/>
          <w:vertAlign w:val="subscript"/>
        </w:rPr>
        <w:t>entr</w:t>
      </w:r>
      <w:proofErr w:type="spellEnd"/>
      <w:r>
        <w:t xml:space="preserve"> the entrainment rate of air. TWODEE-2 is based on the numerical solution of the governing equations derived from Eq. 3. A full description of the physical model can be found in Folch et al. (2007, 2009). </w:t>
      </w:r>
      <w:proofErr w:type="gramStart"/>
      <w:r>
        <w:t>Also</w:t>
      </w:r>
      <w:proofErr w:type="gramEnd"/>
      <w:r>
        <w:t xml:space="preserve"> in this case the wind field can be evaluated by a uniform wind (SIMILARITY option) in accord to the </w:t>
      </w:r>
      <w:proofErr w:type="spellStart"/>
      <w:r>
        <w:t>Monin-Obukhov</w:t>
      </w:r>
      <w:proofErr w:type="spellEnd"/>
      <w:r>
        <w:t xml:space="preserve"> similarity theory (e.g., </w:t>
      </w:r>
      <w:proofErr w:type="spellStart"/>
      <w:r>
        <w:t>Monin</w:t>
      </w:r>
      <w:proofErr w:type="spellEnd"/>
      <w:r>
        <w:t xml:space="preserve"> and </w:t>
      </w:r>
      <w:proofErr w:type="spellStart"/>
      <w:r>
        <w:t>Yaglom</w:t>
      </w:r>
      <w:proofErr w:type="spellEnd"/>
      <w:r>
        <w:t xml:space="preserve">, 1979; Byun 1990), or by a spatially variable wind which allows to incorporate terrain effects (DIAGNO option) through the DWM (Douglas et al., 1990). </w:t>
      </w:r>
    </w:p>
    <w:p w:rsidR="00CE18F0" w:rsidRDefault="00CE18F0" w:rsidP="00CE18F0"/>
    <w:p w:rsidR="00CE18F0" w:rsidRDefault="00F6125C" w:rsidP="00F6125C">
      <w:pPr>
        <w:pStyle w:val="Heading2"/>
      </w:pPr>
      <w:bookmarkStart w:id="5" w:name="_Toc57823427"/>
      <w:r>
        <w:t>2</w:t>
      </w:r>
      <w:r w:rsidR="00CE18F0">
        <w:t>.3 Diagnostic Wind Model (DWM)</w:t>
      </w:r>
      <w:bookmarkEnd w:id="5"/>
    </w:p>
    <w:p w:rsidR="00CE18F0" w:rsidRDefault="00CE18F0" w:rsidP="00CE18F0">
      <w:r>
        <w:t>The DWM generates wind components (</w:t>
      </w:r>
      <w:r w:rsidRPr="00F6125C">
        <w:rPr>
          <w:i/>
        </w:rPr>
        <w:t>u, v, w</w:t>
      </w:r>
      <w:r>
        <w:t>) at several user-specified vertical levels for a specified time, incorporating local surface and upper-air wind observations, where available, and providing some information on terrain-induced air flows in regions where local observations are absent. In particular, the generation of the wind field is obtained by a two-step procedure. Step l produces a spatially varying gridded field of wind components (</w:t>
      </w:r>
      <w:r w:rsidRPr="00F6125C">
        <w:rPr>
          <w:i/>
        </w:rPr>
        <w:t>u, v, w</w:t>
      </w:r>
      <w:r>
        <w:t>) for each vertical layer within the modelling domain. Step 2 combines the gridded wind field generated in step l with available observational data to produce a final gridded wind field (</w:t>
      </w:r>
      <w:r w:rsidRPr="00F6125C">
        <w:rPr>
          <w:i/>
        </w:rPr>
        <w:t>u, v, w</w:t>
      </w:r>
      <w:r>
        <w:t xml:space="preserve">). This involves four sub-steps: (l) interpolation, (2) smoothing of the analysed field, (3) computation of a vertical velocity field, and (4) minimization of the three-dimensional divergence. Finally, a divergence-minimization procedure is iteratively applied until velocity divergence is smaller than an arbitrarily user defined threshold. The final result of DWM is an approximately null-divergence wind field consistent with the observations. A complete description is provided in Douglas et al. (1990). </w:t>
      </w:r>
    </w:p>
    <w:p w:rsidR="00CE18F0" w:rsidRPr="00CE18F0" w:rsidRDefault="00CE18F0" w:rsidP="00CE18F0">
      <w:r>
        <w:t xml:space="preserve">DWM needs topography data, average wind on the computational domain, and atmospheric stability information within the scale of the domain (i.e. the temperature gradient). The approximation of a null-divergence wind field is generally applicable up to a kilometre above ground level (Dutton and </w:t>
      </w:r>
      <w:proofErr w:type="spellStart"/>
      <w:r>
        <w:t>Fichtl</w:t>
      </w:r>
      <w:proofErr w:type="spellEnd"/>
      <w:r>
        <w:t>, 1969). Since we deal with dispersion in the surface layer, i.e. the lowest part of the Planetary Boundary Layer (which extents ca. up to 2-3 km in the atmosphere), this approximation is suitable to our study. Furthermore, since terrain-following coordinates are used, such an approximation still holds even if ground level varies significantly within the computational domain. Then, DISGAS-2.0 and TWODEE-2 models linearly interpolate the wind field into computational grid.</w:t>
      </w:r>
    </w:p>
    <w:p w:rsidR="00CE18F0" w:rsidRPr="00CE18F0" w:rsidRDefault="00CE18F0"/>
    <w:p w:rsidR="00F14939" w:rsidRDefault="00F14939" w:rsidP="00F14939">
      <w:pPr>
        <w:pStyle w:val="Heading1"/>
      </w:pPr>
      <w:bookmarkStart w:id="6" w:name="_Toc57823428"/>
      <w:r>
        <w:t>3</w:t>
      </w:r>
      <w:r>
        <w:t>. The program setup</w:t>
      </w:r>
      <w:bookmarkEnd w:id="6"/>
    </w:p>
    <w:p w:rsidR="00F14939" w:rsidRPr="00F14939" w:rsidRDefault="00F14939" w:rsidP="00F14939"/>
    <w:p w:rsidR="00F14939" w:rsidRDefault="00F14939" w:rsidP="00F14939">
      <w:r>
        <w:t xml:space="preserve">APVDGM is composed of three scripts: </w:t>
      </w:r>
    </w:p>
    <w:p w:rsidR="00F14939" w:rsidRPr="006C4902" w:rsidRDefault="00F14939" w:rsidP="00F14939">
      <w:pPr>
        <w:pStyle w:val="ListParagraph"/>
        <w:numPr>
          <w:ilvl w:val="0"/>
          <w:numId w:val="1"/>
        </w:numPr>
        <w:rPr>
          <w:sz w:val="22"/>
        </w:rPr>
      </w:pPr>
      <w:r w:rsidRPr="006C4902">
        <w:rPr>
          <w:b/>
          <w:sz w:val="22"/>
        </w:rPr>
        <w:t>weather.py</w:t>
      </w:r>
      <w:r w:rsidRPr="006C4902">
        <w:rPr>
          <w:sz w:val="22"/>
        </w:rPr>
        <w:t xml:space="preserve">: it prepares the weather data by either retrieving reanalysis data from the ECMWF ERA5 database (Copernicus Climate Change Service, 2017) or from local weather stations provided by the user or both. The script is designed to randomly sample N days from a time interval defined by the user. If weather station data are available, the script is designed to extract weather data in the time interval specified by the user from selected weather data file. Data are then organized in folders to be used by the meteorological processor DIAGNO. </w:t>
      </w:r>
    </w:p>
    <w:p w:rsidR="00F14939" w:rsidRPr="006C4902" w:rsidRDefault="00F14939" w:rsidP="00F14939">
      <w:pPr>
        <w:pStyle w:val="ListParagraph"/>
        <w:numPr>
          <w:ilvl w:val="0"/>
          <w:numId w:val="1"/>
        </w:numPr>
        <w:rPr>
          <w:sz w:val="22"/>
        </w:rPr>
      </w:pPr>
      <w:r w:rsidRPr="006C4902">
        <w:rPr>
          <w:b/>
          <w:sz w:val="22"/>
        </w:rPr>
        <w:t>run_models.py</w:t>
      </w:r>
      <w:r w:rsidRPr="006C4902">
        <w:rPr>
          <w:sz w:val="22"/>
        </w:rPr>
        <w:t xml:space="preserve">: it runs DIAGNO and successively DISGAS-2.0 or TWODEE-2 (hereafter referred to as DISGAS and TWODEE, respectively). The user can assess the gas emission sources in the computational domain by using a random source location (the source locations </w:t>
      </w:r>
      <w:r w:rsidRPr="006C4902">
        <w:rPr>
          <w:sz w:val="22"/>
        </w:rPr>
        <w:lastRenderedPageBreak/>
        <w:t xml:space="preserve">are selected from a probability map) or by a fixed source location (the source location is read from a list containing the source coordinates). In both cases, the number of sources can be fixed or randomly sampled from a range defined by the user. In the same way, the associated gas fluxes can be read by a list (fixed source emission) or randomly sampled by an Empirical Cumulative Distribution Function (ECDF) (random source emission) provided by the user. A combination of gas fixed and random emissions is also possible. </w:t>
      </w:r>
    </w:p>
    <w:p w:rsidR="00F14939" w:rsidRPr="006C4902" w:rsidRDefault="00F14939" w:rsidP="00F14939">
      <w:pPr>
        <w:pStyle w:val="ListParagraph"/>
        <w:numPr>
          <w:ilvl w:val="0"/>
          <w:numId w:val="1"/>
        </w:numPr>
        <w:rPr>
          <w:sz w:val="22"/>
        </w:rPr>
      </w:pPr>
      <w:r w:rsidRPr="006C4902">
        <w:rPr>
          <w:b/>
          <w:sz w:val="22"/>
        </w:rPr>
        <w:t>post_process.py</w:t>
      </w:r>
      <w:r w:rsidRPr="006C4902">
        <w:rPr>
          <w:sz w:val="22"/>
        </w:rPr>
        <w:t xml:space="preserve">: it reads the DISGAS or TWODEE outputs produced by run_models.py and con-verts the model outputs in concentration of other gas species (e.g., CO2, H2S) based on the gas species properties made available by the user in the file gas_properties.csv. The script can also </w:t>
      </w:r>
      <w:proofErr w:type="spellStart"/>
      <w:r w:rsidRPr="006C4902">
        <w:rPr>
          <w:sz w:val="22"/>
        </w:rPr>
        <w:t>cal-culate</w:t>
      </w:r>
      <w:proofErr w:type="spellEnd"/>
      <w:r w:rsidRPr="006C4902">
        <w:rPr>
          <w:sz w:val="22"/>
        </w:rPr>
        <w:t xml:space="preserve"> and plot the modelled concentrations at the user’s specified exceedance probabilities, timesteps and vertical layers. It can also calculate the time averaged concentrations. </w:t>
      </w:r>
    </w:p>
    <w:p w:rsidR="00F14939" w:rsidRDefault="00F14939" w:rsidP="00F14939"/>
    <w:p w:rsidR="00F14939" w:rsidRDefault="00F14939" w:rsidP="00F14939">
      <w:pPr>
        <w:pStyle w:val="Heading2"/>
      </w:pPr>
      <w:bookmarkStart w:id="7" w:name="_Toc57823429"/>
      <w:r>
        <w:t>3</w:t>
      </w:r>
      <w:r>
        <w:t>.1 Dependencies and installation instructions</w:t>
      </w:r>
      <w:bookmarkEnd w:id="7"/>
    </w:p>
    <w:p w:rsidR="00F14939" w:rsidRDefault="00F14939" w:rsidP="00F14939"/>
    <w:p w:rsidR="00F14939" w:rsidRDefault="00F14939" w:rsidP="00F14939">
      <w:r>
        <w:t>APVGDM assumes that the</w:t>
      </w:r>
      <w:r w:rsidR="0074338F">
        <w:t xml:space="preserve"> binary files of</w:t>
      </w:r>
      <w:r>
        <w:t xml:space="preserve"> DIAGNO</w:t>
      </w:r>
      <w:r w:rsidR="0074338F">
        <w:t xml:space="preserve"> (</w:t>
      </w:r>
      <w:proofErr w:type="spellStart"/>
      <w:r w:rsidR="0074338F">
        <w:t>diagno</w:t>
      </w:r>
      <w:proofErr w:type="spellEnd"/>
      <w:r w:rsidR="0074338F">
        <w:t>)</w:t>
      </w:r>
      <w:r>
        <w:t xml:space="preserve">, DISGAS </w:t>
      </w:r>
      <w:r w:rsidR="0074338F">
        <w:t>(</w:t>
      </w:r>
      <w:proofErr w:type="spellStart"/>
      <w:r w:rsidR="0074338F">
        <w:t>disgas</w:t>
      </w:r>
      <w:proofErr w:type="spellEnd"/>
      <w:r w:rsidR="0074338F">
        <w:t xml:space="preserve">) </w:t>
      </w:r>
      <w:r>
        <w:t>and TWODEE</w:t>
      </w:r>
      <w:r w:rsidR="0074338F">
        <w:t xml:space="preserve"> (Twodee.2.2.x)</w:t>
      </w:r>
      <w:r>
        <w:t xml:space="preserve"> are in the system path. DIAGNO and DISGAS can be downloaded from the </w:t>
      </w:r>
      <w:r>
        <w:t>following repositories:</w:t>
      </w:r>
    </w:p>
    <w:p w:rsidR="00F14939" w:rsidRDefault="00F14939" w:rsidP="00F14939">
      <w:hyperlink r:id="rId9" w:history="1">
        <w:r w:rsidRPr="00D32222">
          <w:rPr>
            <w:rStyle w:val="Hyperlink"/>
          </w:rPr>
          <w:t>https://github.com/FabioDioguardi/DISGAS</w:t>
        </w:r>
      </w:hyperlink>
      <w:r>
        <w:t xml:space="preserve"> </w:t>
      </w:r>
      <w:r>
        <w:t xml:space="preserve">(it is recommended to download the version from the branch v2.0.1), while TWODEE can be downloaded for the repository </w:t>
      </w:r>
    </w:p>
    <w:p w:rsidR="00F14939" w:rsidRDefault="00F14939" w:rsidP="00F14939">
      <w:hyperlink r:id="rId10" w:history="1">
        <w:r w:rsidRPr="00D32222">
          <w:rPr>
            <w:rStyle w:val="Hyperlink"/>
          </w:rPr>
          <w:t>https://github.com/FabioDioguardi/Twodee</w:t>
        </w:r>
      </w:hyperlink>
      <w:r>
        <w:t xml:space="preserve"> </w:t>
      </w:r>
      <w:r>
        <w:t xml:space="preserve">(it is recommended to download the version from the branch v2.2). </w:t>
      </w:r>
    </w:p>
    <w:p w:rsidR="00F14939" w:rsidRDefault="00F14939" w:rsidP="00F14939">
      <w:r>
        <w:t>DIAGNO comes as a utility of DISGAS; when installing DISGAS, the installers also compile the DIAGNO binary file. Further instructions for installation and usage of DIAGNO, DISGAS and TWODEE can be found in the manuals of the software.</w:t>
      </w:r>
    </w:p>
    <w:p w:rsidR="00F14939" w:rsidRDefault="00F14939" w:rsidP="00F14939">
      <w:r>
        <w:t>Additionally, the following software are required before running APVGDM:</w:t>
      </w:r>
    </w:p>
    <w:p w:rsidR="00F14939" w:rsidRPr="006C4902" w:rsidRDefault="00F14939" w:rsidP="00B630BE">
      <w:pPr>
        <w:pStyle w:val="ListParagraph"/>
        <w:numPr>
          <w:ilvl w:val="0"/>
          <w:numId w:val="2"/>
        </w:numPr>
        <w:rPr>
          <w:sz w:val="22"/>
        </w:rPr>
      </w:pPr>
      <w:r w:rsidRPr="006C4902">
        <w:rPr>
          <w:b/>
          <w:sz w:val="22"/>
        </w:rPr>
        <w:t>wgrib2</w:t>
      </w:r>
      <w:r w:rsidRPr="006C4902">
        <w:rPr>
          <w:sz w:val="22"/>
        </w:rPr>
        <w:t xml:space="preserve">: </w:t>
      </w:r>
      <w:hyperlink r:id="rId11" w:history="1">
        <w:r w:rsidR="00B630BE" w:rsidRPr="006C4902">
          <w:rPr>
            <w:rStyle w:val="Hyperlink"/>
            <w:sz w:val="22"/>
          </w:rPr>
          <w:t>http://www.cpc.ncep.noaa.gov/products/wesley/wgrib2/</w:t>
        </w:r>
      </w:hyperlink>
      <w:r w:rsidR="00B630BE" w:rsidRPr="006C4902">
        <w:rPr>
          <w:sz w:val="22"/>
        </w:rPr>
        <w:t xml:space="preserve">. </w:t>
      </w:r>
      <w:r w:rsidRPr="006C4902">
        <w:rPr>
          <w:sz w:val="22"/>
        </w:rPr>
        <w:t xml:space="preserve">APVGDM assumes the executable is in the system PATH. </w:t>
      </w:r>
    </w:p>
    <w:p w:rsidR="00F14939" w:rsidRPr="006C4902" w:rsidRDefault="00F14939" w:rsidP="00B630BE">
      <w:pPr>
        <w:pStyle w:val="ListParagraph"/>
        <w:numPr>
          <w:ilvl w:val="0"/>
          <w:numId w:val="2"/>
        </w:numPr>
        <w:rPr>
          <w:sz w:val="22"/>
        </w:rPr>
      </w:pPr>
      <w:proofErr w:type="spellStart"/>
      <w:r w:rsidRPr="006C4902">
        <w:rPr>
          <w:b/>
          <w:sz w:val="22"/>
        </w:rPr>
        <w:t>grib</w:t>
      </w:r>
      <w:proofErr w:type="spellEnd"/>
      <w:r w:rsidRPr="006C4902">
        <w:rPr>
          <w:b/>
          <w:sz w:val="22"/>
        </w:rPr>
        <w:t>-tools</w:t>
      </w:r>
      <w:r w:rsidRPr="006C4902">
        <w:rPr>
          <w:sz w:val="22"/>
        </w:rPr>
        <w:t xml:space="preserve">: for Windows, it is used chocolatey to install it. https://chocolatey.org/packages/grib-tools; for Linux, it is required the installation of </w:t>
      </w:r>
      <w:proofErr w:type="spellStart"/>
      <w:r w:rsidRPr="006C4902">
        <w:rPr>
          <w:sz w:val="22"/>
        </w:rPr>
        <w:t>eccodes</w:t>
      </w:r>
      <w:proofErr w:type="spellEnd"/>
      <w:r w:rsidRPr="006C4902">
        <w:rPr>
          <w:sz w:val="22"/>
        </w:rPr>
        <w:t xml:space="preserve">. In both cases, it is required to add the binaries folder to the system PATH. </w:t>
      </w:r>
    </w:p>
    <w:p w:rsidR="00F14939" w:rsidRPr="006C4902" w:rsidRDefault="00F14939" w:rsidP="00B630BE">
      <w:pPr>
        <w:pStyle w:val="ListParagraph"/>
        <w:numPr>
          <w:ilvl w:val="0"/>
          <w:numId w:val="2"/>
        </w:numPr>
        <w:rPr>
          <w:sz w:val="22"/>
        </w:rPr>
      </w:pPr>
      <w:r w:rsidRPr="006C4902">
        <w:rPr>
          <w:b/>
          <w:sz w:val="22"/>
        </w:rPr>
        <w:t>CDSAPI client key</w:t>
      </w:r>
      <w:r w:rsidRPr="006C4902">
        <w:rPr>
          <w:sz w:val="22"/>
        </w:rPr>
        <w:t xml:space="preserve">: it is needed to download the ERA 5 reanalysis data. The user has to register at: https://cds.climate.copernicus.eu/cdsapp#!/home. Once the registration is approved, to get the data follow the instructions at: https://confluence.ecmwf.int/display/CKB/How+to+download+ERA5. The user needs to install the personal key in </w:t>
      </w:r>
      <w:proofErr w:type="gramStart"/>
      <w:r w:rsidRPr="006C4902">
        <w:rPr>
          <w:sz w:val="22"/>
        </w:rPr>
        <w:t>a .</w:t>
      </w:r>
      <w:proofErr w:type="spellStart"/>
      <w:r w:rsidRPr="006C4902">
        <w:rPr>
          <w:sz w:val="22"/>
        </w:rPr>
        <w:t>cdsapirc</w:t>
      </w:r>
      <w:proofErr w:type="spellEnd"/>
      <w:proofErr w:type="gramEnd"/>
      <w:r w:rsidRPr="006C4902">
        <w:rPr>
          <w:sz w:val="22"/>
        </w:rPr>
        <w:t xml:space="preserve"> file, to save in different locations depending on the OS. </w:t>
      </w:r>
    </w:p>
    <w:p w:rsidR="00F14939" w:rsidRPr="006C4902" w:rsidRDefault="00F14939" w:rsidP="00B630BE">
      <w:pPr>
        <w:pStyle w:val="ListParagraph"/>
        <w:numPr>
          <w:ilvl w:val="0"/>
          <w:numId w:val="2"/>
        </w:numPr>
        <w:rPr>
          <w:sz w:val="22"/>
        </w:rPr>
      </w:pPr>
      <w:r w:rsidRPr="006C4902">
        <w:rPr>
          <w:sz w:val="22"/>
        </w:rPr>
        <w:t xml:space="preserve">Additional python packages needed are: </w:t>
      </w:r>
      <w:proofErr w:type="spellStart"/>
      <w:r w:rsidRPr="006C4902">
        <w:rPr>
          <w:sz w:val="22"/>
        </w:rPr>
        <w:t>utm</w:t>
      </w:r>
      <w:proofErr w:type="spellEnd"/>
      <w:r w:rsidRPr="006C4902">
        <w:rPr>
          <w:sz w:val="22"/>
        </w:rPr>
        <w:t xml:space="preserve">, </w:t>
      </w:r>
      <w:proofErr w:type="spellStart"/>
      <w:r w:rsidRPr="006C4902">
        <w:rPr>
          <w:sz w:val="22"/>
        </w:rPr>
        <w:t>cdsapi</w:t>
      </w:r>
      <w:proofErr w:type="spellEnd"/>
      <w:r w:rsidRPr="006C4902">
        <w:rPr>
          <w:sz w:val="22"/>
        </w:rPr>
        <w:t xml:space="preserve">, pandas, </w:t>
      </w:r>
      <w:proofErr w:type="spellStart"/>
      <w:r w:rsidRPr="006C4902">
        <w:rPr>
          <w:sz w:val="22"/>
        </w:rPr>
        <w:t>xlrd</w:t>
      </w:r>
      <w:proofErr w:type="spellEnd"/>
      <w:r w:rsidRPr="006C4902">
        <w:rPr>
          <w:sz w:val="22"/>
        </w:rPr>
        <w:t>.</w:t>
      </w:r>
    </w:p>
    <w:p w:rsidR="00F14939" w:rsidRDefault="00F14939" w:rsidP="00F14939"/>
    <w:p w:rsidR="00F14939" w:rsidRDefault="00F14939" w:rsidP="00F14939">
      <w:r>
        <w:t>It is possible to set a virtual environment by using Anaconda</w:t>
      </w:r>
      <w:r w:rsidR="00B630BE">
        <w:t xml:space="preserve"> (</w:t>
      </w:r>
      <w:hyperlink r:id="rId12" w:history="1">
        <w:r w:rsidR="00B630BE" w:rsidRPr="00D32222">
          <w:rPr>
            <w:rStyle w:val="Hyperlink"/>
          </w:rPr>
          <w:t>https://www.anaconda.com/</w:t>
        </w:r>
      </w:hyperlink>
      <w:r w:rsidR="00B630BE">
        <w:t xml:space="preserve">), </w:t>
      </w:r>
      <w:r>
        <w:t xml:space="preserve">with all the required dependencies specific for APVGDM. This simplifies the installation of the different packages and the management of the Python installation in the system. For setting the </w:t>
      </w:r>
      <w:proofErr w:type="spellStart"/>
      <w:r>
        <w:t>Conda</w:t>
      </w:r>
      <w:proofErr w:type="spellEnd"/>
      <w:r>
        <w:t xml:space="preserve"> environment, the user can use the following instructions: </w:t>
      </w:r>
    </w:p>
    <w:p w:rsidR="00F14939" w:rsidRPr="006C4902" w:rsidRDefault="00F14939" w:rsidP="00B630BE">
      <w:pPr>
        <w:pStyle w:val="ListParagraph"/>
        <w:numPr>
          <w:ilvl w:val="0"/>
          <w:numId w:val="4"/>
        </w:numPr>
        <w:rPr>
          <w:rStyle w:val="None"/>
          <w:sz w:val="22"/>
        </w:rPr>
      </w:pPr>
      <w:r w:rsidRPr="006C4902">
        <w:rPr>
          <w:rStyle w:val="None"/>
          <w:sz w:val="22"/>
        </w:rPr>
        <w:t>create the environment with the needed additional packages:</w:t>
      </w:r>
    </w:p>
    <w:p w:rsidR="00F14939" w:rsidRPr="006C4902" w:rsidRDefault="00F14939" w:rsidP="00B630BE">
      <w:pPr>
        <w:pStyle w:val="ListParagraph"/>
        <w:rPr>
          <w:rStyle w:val="None"/>
          <w:i/>
          <w:sz w:val="22"/>
        </w:rPr>
      </w:pPr>
      <w:proofErr w:type="spellStart"/>
      <w:r w:rsidRPr="006C4902">
        <w:rPr>
          <w:rStyle w:val="None"/>
          <w:i/>
          <w:sz w:val="22"/>
        </w:rPr>
        <w:t>conda</w:t>
      </w:r>
      <w:proofErr w:type="spellEnd"/>
      <w:r w:rsidRPr="006C4902">
        <w:rPr>
          <w:rStyle w:val="None"/>
          <w:i/>
          <w:sz w:val="22"/>
        </w:rPr>
        <w:t xml:space="preserve"> create --name </w:t>
      </w:r>
      <w:proofErr w:type="spellStart"/>
      <w:r w:rsidRPr="006C4902">
        <w:rPr>
          <w:rStyle w:val="None"/>
          <w:i/>
          <w:sz w:val="22"/>
        </w:rPr>
        <w:t>name_of_environment</w:t>
      </w:r>
      <w:proofErr w:type="spellEnd"/>
      <w:r w:rsidRPr="006C4902">
        <w:rPr>
          <w:rStyle w:val="None"/>
          <w:i/>
          <w:sz w:val="22"/>
        </w:rPr>
        <w:t xml:space="preserve"> python=3.8 </w:t>
      </w:r>
      <w:proofErr w:type="spellStart"/>
      <w:r w:rsidRPr="006C4902">
        <w:rPr>
          <w:rStyle w:val="None"/>
          <w:i/>
          <w:sz w:val="22"/>
        </w:rPr>
        <w:t>utm</w:t>
      </w:r>
      <w:proofErr w:type="spellEnd"/>
      <w:r w:rsidRPr="006C4902">
        <w:rPr>
          <w:rStyle w:val="None"/>
          <w:i/>
          <w:sz w:val="22"/>
        </w:rPr>
        <w:t xml:space="preserve"> </w:t>
      </w:r>
      <w:proofErr w:type="spellStart"/>
      <w:r w:rsidRPr="006C4902">
        <w:rPr>
          <w:rStyle w:val="None"/>
          <w:i/>
          <w:sz w:val="22"/>
        </w:rPr>
        <w:t>cdsapi</w:t>
      </w:r>
      <w:proofErr w:type="spellEnd"/>
      <w:r w:rsidRPr="006C4902">
        <w:rPr>
          <w:rStyle w:val="None"/>
          <w:i/>
          <w:sz w:val="22"/>
        </w:rPr>
        <w:t xml:space="preserve"> pandas </w:t>
      </w:r>
      <w:proofErr w:type="spellStart"/>
      <w:r w:rsidRPr="006C4902">
        <w:rPr>
          <w:rStyle w:val="None"/>
          <w:i/>
          <w:sz w:val="22"/>
        </w:rPr>
        <w:t>xlrd</w:t>
      </w:r>
      <w:proofErr w:type="spellEnd"/>
    </w:p>
    <w:p w:rsidR="00F14939" w:rsidRPr="006C4902" w:rsidRDefault="00F14939" w:rsidP="00B630BE">
      <w:pPr>
        <w:pStyle w:val="ListParagraph"/>
        <w:numPr>
          <w:ilvl w:val="0"/>
          <w:numId w:val="4"/>
        </w:numPr>
        <w:rPr>
          <w:rStyle w:val="None"/>
          <w:sz w:val="22"/>
        </w:rPr>
      </w:pPr>
      <w:r w:rsidRPr="006C4902">
        <w:rPr>
          <w:rStyle w:val="None"/>
          <w:sz w:val="22"/>
        </w:rPr>
        <w:t>activate the environment with:</w:t>
      </w:r>
    </w:p>
    <w:p w:rsidR="00F14939" w:rsidRPr="006C4902" w:rsidRDefault="00F14939" w:rsidP="00B630BE">
      <w:pPr>
        <w:pStyle w:val="ListParagraph"/>
        <w:rPr>
          <w:rStyle w:val="None"/>
          <w:i/>
          <w:sz w:val="22"/>
        </w:rPr>
      </w:pPr>
      <w:proofErr w:type="spellStart"/>
      <w:r w:rsidRPr="006C4902">
        <w:rPr>
          <w:rStyle w:val="None"/>
          <w:i/>
          <w:sz w:val="22"/>
        </w:rPr>
        <w:t>conda</w:t>
      </w:r>
      <w:proofErr w:type="spellEnd"/>
      <w:r w:rsidRPr="006C4902">
        <w:rPr>
          <w:rStyle w:val="None"/>
          <w:i/>
          <w:sz w:val="22"/>
        </w:rPr>
        <w:t xml:space="preserve"> activate </w:t>
      </w:r>
      <w:proofErr w:type="spellStart"/>
      <w:r w:rsidRPr="006C4902">
        <w:rPr>
          <w:rStyle w:val="None"/>
          <w:i/>
          <w:sz w:val="22"/>
        </w:rPr>
        <w:t>name_of_environment</w:t>
      </w:r>
      <w:proofErr w:type="spellEnd"/>
      <w:r w:rsidRPr="006C4902">
        <w:rPr>
          <w:rStyle w:val="None"/>
          <w:i/>
          <w:sz w:val="22"/>
        </w:rPr>
        <w:t xml:space="preserve"> </w:t>
      </w:r>
    </w:p>
    <w:p w:rsidR="00B630BE" w:rsidRPr="006C4902" w:rsidRDefault="00F14939" w:rsidP="00B630BE">
      <w:pPr>
        <w:pStyle w:val="ListParagraph"/>
        <w:numPr>
          <w:ilvl w:val="0"/>
          <w:numId w:val="4"/>
        </w:numPr>
        <w:rPr>
          <w:rStyle w:val="None"/>
          <w:sz w:val="22"/>
        </w:rPr>
      </w:pPr>
      <w:r w:rsidRPr="006C4902">
        <w:rPr>
          <w:rStyle w:val="None"/>
          <w:sz w:val="22"/>
        </w:rPr>
        <w:t xml:space="preserve">to exit from the environment:  </w:t>
      </w:r>
    </w:p>
    <w:p w:rsidR="00F14939" w:rsidRPr="006C4902" w:rsidRDefault="00F14939" w:rsidP="00B630BE">
      <w:pPr>
        <w:pStyle w:val="ListParagraph"/>
        <w:rPr>
          <w:rStyle w:val="None"/>
          <w:i/>
          <w:sz w:val="22"/>
        </w:rPr>
      </w:pPr>
      <w:proofErr w:type="spellStart"/>
      <w:r w:rsidRPr="006C4902">
        <w:rPr>
          <w:rStyle w:val="None"/>
          <w:i/>
          <w:sz w:val="22"/>
        </w:rPr>
        <w:lastRenderedPageBreak/>
        <w:t>conda</w:t>
      </w:r>
      <w:proofErr w:type="spellEnd"/>
      <w:r w:rsidRPr="006C4902">
        <w:rPr>
          <w:rStyle w:val="None"/>
          <w:i/>
          <w:sz w:val="22"/>
        </w:rPr>
        <w:t xml:space="preserve"> deactivate </w:t>
      </w:r>
    </w:p>
    <w:p w:rsidR="00F14939" w:rsidRDefault="00F14939" w:rsidP="00F14939"/>
    <w:p w:rsidR="00F14939" w:rsidRDefault="00B630BE" w:rsidP="00B630BE">
      <w:pPr>
        <w:pStyle w:val="Heading2"/>
      </w:pPr>
      <w:bookmarkStart w:id="8" w:name="_Toc57823430"/>
      <w:r>
        <w:t>3</w:t>
      </w:r>
      <w:r w:rsidR="00F14939">
        <w:t>.2 Folders structure</w:t>
      </w:r>
      <w:bookmarkEnd w:id="8"/>
    </w:p>
    <w:p w:rsidR="00B630BE" w:rsidRDefault="00B630BE" w:rsidP="00F14939"/>
    <w:p w:rsidR="00F14939" w:rsidRDefault="00F14939" w:rsidP="00F14939">
      <w:r>
        <w:t>The package consists of the three Python scripts, a folder “Manual” that contains this User manual and a folder “Examples” which contains input files for the examples presented in the following.</w:t>
      </w:r>
    </w:p>
    <w:p w:rsidR="00F14939" w:rsidRDefault="00F14939" w:rsidP="00F14939">
      <w:r>
        <w:t xml:space="preserve">Figure 1 shows the folders structure created by APVDGM in runtime. It is important to stress that the “simulations” folder provided by weather.py will be the input folder for the run_models.py. At the same time, the “simulations” folder created by run_models.py will the </w:t>
      </w:r>
      <w:proofErr w:type="spellStart"/>
      <w:r>
        <w:t>the</w:t>
      </w:r>
      <w:proofErr w:type="spellEnd"/>
      <w:r>
        <w:t xml:space="preserve"> input folder for the post_process.py. For each script, the Input and Output files are indicated.  </w:t>
      </w:r>
    </w:p>
    <w:p w:rsidR="00B630BE" w:rsidRPr="00B7192C" w:rsidRDefault="00B630BE" w:rsidP="00B630BE">
      <w:pPr>
        <w:pStyle w:val="Heading2A"/>
        <w:spacing w:before="0" w:after="0" w:line="276" w:lineRule="auto"/>
        <w:ind w:left="66"/>
        <w:jc w:val="both"/>
        <w:rPr>
          <w:rStyle w:val="None"/>
          <w:rFonts w:ascii="Times New Roman" w:eastAsia="Cambria" w:hAnsi="Times New Roman" w:cs="Times New Roman"/>
          <w:b w:val="0"/>
          <w:bCs w:val="0"/>
          <w:sz w:val="20"/>
          <w:szCs w:val="20"/>
          <w:lang w:val="en-GB" w:eastAsia="en-US" w:bidi="ar-SA"/>
        </w:rPr>
      </w:pPr>
      <w:r w:rsidRPr="00B7192C">
        <w:rPr>
          <w:rFonts w:ascii="Times New Roman" w:eastAsia="Cambria" w:hAnsi="Times New Roman" w:cs="Times New Roman"/>
          <w:b w:val="0"/>
          <w:bCs w:val="0"/>
          <w:noProof/>
          <w:sz w:val="20"/>
          <w:szCs w:val="20"/>
          <w:lang w:val="en-GB" w:eastAsia="en-US" w:bidi="ar-SA"/>
        </w:rPr>
        <w:drawing>
          <wp:inline distT="0" distB="0" distL="0" distR="0" wp14:anchorId="66103A1E" wp14:editId="17928989">
            <wp:extent cx="6197583" cy="3937311"/>
            <wp:effectExtent l="0" t="0" r="63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13">
                      <a:extLst>
                        <a:ext uri="{28A0092B-C50C-407E-A947-70E740481C1C}">
                          <a14:useLocalDpi xmlns:a14="http://schemas.microsoft.com/office/drawing/2010/main" val="0"/>
                        </a:ext>
                      </a:extLst>
                    </a:blip>
                    <a:stretch>
                      <a:fillRect/>
                    </a:stretch>
                  </pic:blipFill>
                  <pic:spPr>
                    <a:xfrm>
                      <a:off x="0" y="0"/>
                      <a:ext cx="6208229" cy="3944074"/>
                    </a:xfrm>
                    <a:prstGeom prst="rect">
                      <a:avLst/>
                    </a:prstGeom>
                  </pic:spPr>
                </pic:pic>
              </a:graphicData>
            </a:graphic>
          </wp:inline>
        </w:drawing>
      </w:r>
    </w:p>
    <w:p w:rsidR="00B630BE" w:rsidRPr="00B7192C" w:rsidRDefault="00B630BE" w:rsidP="00B630BE">
      <w:pPr>
        <w:pStyle w:val="Heading2A"/>
        <w:spacing w:before="0" w:after="0" w:line="276" w:lineRule="auto"/>
        <w:ind w:left="66"/>
        <w:jc w:val="both"/>
        <w:rPr>
          <w:rStyle w:val="None"/>
          <w:rFonts w:ascii="Times New Roman" w:eastAsia="Cambria" w:hAnsi="Times New Roman" w:cs="Times New Roman"/>
          <w:b w:val="0"/>
          <w:bCs w:val="0"/>
          <w:sz w:val="20"/>
          <w:szCs w:val="20"/>
          <w:lang w:val="en-GB" w:eastAsia="en-US" w:bidi="ar-SA"/>
        </w:rPr>
      </w:pPr>
      <w:r w:rsidRPr="00B7192C">
        <w:rPr>
          <w:rStyle w:val="None"/>
          <w:rFonts w:ascii="Times New Roman" w:eastAsia="Cambria" w:hAnsi="Times New Roman" w:cs="Times New Roman"/>
          <w:b w:val="0"/>
          <w:bCs w:val="0"/>
          <w:sz w:val="20"/>
          <w:szCs w:val="20"/>
          <w:lang w:val="en-GB" w:eastAsia="en-US" w:bidi="ar-SA"/>
        </w:rPr>
        <w:t xml:space="preserve">Figure 1 – Directory tree of the APVGDM tool.  </w:t>
      </w:r>
    </w:p>
    <w:p w:rsidR="00F14939" w:rsidRDefault="00F14939" w:rsidP="00F14939"/>
    <w:p w:rsidR="00F14939" w:rsidRDefault="00B630BE" w:rsidP="00B630BE">
      <w:pPr>
        <w:pStyle w:val="Heading2"/>
      </w:pPr>
      <w:bookmarkStart w:id="9" w:name="_Toc57823431"/>
      <w:r>
        <w:t>3</w:t>
      </w:r>
      <w:r w:rsidR="00F14939">
        <w:t>.3 The APVGDM Input and Output files</w:t>
      </w:r>
      <w:bookmarkEnd w:id="9"/>
    </w:p>
    <w:p w:rsidR="00F14939" w:rsidRDefault="00F14939" w:rsidP="00F14939"/>
    <w:p w:rsidR="00F14939" w:rsidRDefault="00F14939" w:rsidP="006C4902">
      <w:r>
        <w:t>APVGDM requires the following mandatory files</w:t>
      </w:r>
      <w:r w:rsidR="00C530E5">
        <w:t xml:space="preserve"> to be stored in the working folder where the Python scripts are before running</w:t>
      </w:r>
      <w:bookmarkStart w:id="10" w:name="_GoBack"/>
      <w:bookmarkEnd w:id="10"/>
      <w:r>
        <w:t xml:space="preserve">:  </w:t>
      </w:r>
    </w:p>
    <w:p w:rsidR="00F14939" w:rsidRPr="006C4902" w:rsidRDefault="00F14939" w:rsidP="006C4902">
      <w:pPr>
        <w:pStyle w:val="ListParagraph"/>
        <w:numPr>
          <w:ilvl w:val="0"/>
          <w:numId w:val="6"/>
        </w:numPr>
        <w:rPr>
          <w:sz w:val="22"/>
        </w:rPr>
      </w:pPr>
      <w:proofErr w:type="spellStart"/>
      <w:r w:rsidRPr="006C4902">
        <w:rPr>
          <w:b/>
          <w:sz w:val="22"/>
        </w:rPr>
        <w:t>diagno.inp</w:t>
      </w:r>
      <w:proofErr w:type="spellEnd"/>
      <w:r w:rsidRPr="006C4902">
        <w:rPr>
          <w:sz w:val="22"/>
        </w:rPr>
        <w:t xml:space="preserve">: it denotes the DIAGNO input file. </w:t>
      </w:r>
    </w:p>
    <w:p w:rsidR="00F14939" w:rsidRPr="006C4902" w:rsidRDefault="00F14939" w:rsidP="006C4902">
      <w:pPr>
        <w:pStyle w:val="ListParagraph"/>
        <w:numPr>
          <w:ilvl w:val="0"/>
          <w:numId w:val="6"/>
        </w:numPr>
        <w:rPr>
          <w:sz w:val="22"/>
        </w:rPr>
      </w:pPr>
      <w:r w:rsidRPr="006C4902">
        <w:rPr>
          <w:b/>
          <w:sz w:val="22"/>
        </w:rPr>
        <w:t>“</w:t>
      </w:r>
      <w:proofErr w:type="spellStart"/>
      <w:r w:rsidRPr="006C4902">
        <w:rPr>
          <w:b/>
          <w:sz w:val="22"/>
        </w:rPr>
        <w:t>problemname</w:t>
      </w:r>
      <w:proofErr w:type="spellEnd"/>
      <w:proofErr w:type="gramStart"/>
      <w:r w:rsidRPr="006C4902">
        <w:rPr>
          <w:b/>
          <w:sz w:val="22"/>
        </w:rPr>
        <w:t>”.</w:t>
      </w:r>
      <w:proofErr w:type="spellStart"/>
      <w:r w:rsidRPr="006C4902">
        <w:rPr>
          <w:b/>
          <w:sz w:val="22"/>
        </w:rPr>
        <w:t>inp</w:t>
      </w:r>
      <w:proofErr w:type="spellEnd"/>
      <w:proofErr w:type="gramEnd"/>
      <w:r w:rsidRPr="006C4902">
        <w:rPr>
          <w:sz w:val="22"/>
        </w:rPr>
        <w:t>: it is the control file of DISGAS and/or TWODEE. “</w:t>
      </w:r>
      <w:proofErr w:type="spellStart"/>
      <w:r w:rsidRPr="006C4902">
        <w:rPr>
          <w:sz w:val="22"/>
        </w:rPr>
        <w:t>problemname</w:t>
      </w:r>
      <w:proofErr w:type="spellEnd"/>
      <w:r w:rsidRPr="006C4902">
        <w:rPr>
          <w:sz w:val="22"/>
        </w:rPr>
        <w:t>” should be “</w:t>
      </w:r>
      <w:proofErr w:type="spellStart"/>
      <w:r w:rsidRPr="006C4902">
        <w:rPr>
          <w:sz w:val="22"/>
        </w:rPr>
        <w:t>diagno</w:t>
      </w:r>
      <w:proofErr w:type="spellEnd"/>
      <w:r w:rsidRPr="006C4902">
        <w:rPr>
          <w:sz w:val="22"/>
        </w:rPr>
        <w:t>” or “</w:t>
      </w:r>
      <w:proofErr w:type="spellStart"/>
      <w:r w:rsidRPr="006C4902">
        <w:rPr>
          <w:sz w:val="22"/>
        </w:rPr>
        <w:t>disgas</w:t>
      </w:r>
      <w:proofErr w:type="spellEnd"/>
      <w:r w:rsidRPr="006C4902">
        <w:rPr>
          <w:sz w:val="22"/>
        </w:rPr>
        <w:t>” (or both) depending on the model that has to be run.</w:t>
      </w:r>
    </w:p>
    <w:p w:rsidR="00CE18F0" w:rsidRDefault="00F14939" w:rsidP="006C4902">
      <w:pPr>
        <w:pStyle w:val="ListParagraph"/>
        <w:numPr>
          <w:ilvl w:val="0"/>
          <w:numId w:val="6"/>
        </w:numPr>
        <w:rPr>
          <w:sz w:val="22"/>
        </w:rPr>
      </w:pPr>
      <w:proofErr w:type="spellStart"/>
      <w:r w:rsidRPr="006C4902">
        <w:rPr>
          <w:b/>
          <w:sz w:val="22"/>
        </w:rPr>
        <w:t>topography.grd</w:t>
      </w:r>
      <w:proofErr w:type="spellEnd"/>
      <w:r w:rsidRPr="006C4902">
        <w:rPr>
          <w:sz w:val="22"/>
        </w:rPr>
        <w:t xml:space="preserve">: a file that describes the topography in </w:t>
      </w:r>
      <w:r w:rsidR="0074338F">
        <w:rPr>
          <w:sz w:val="22"/>
        </w:rPr>
        <w:t>ASCII GRD</w:t>
      </w:r>
      <w:r w:rsidRPr="006C4902">
        <w:rPr>
          <w:sz w:val="22"/>
        </w:rPr>
        <w:t xml:space="preserve"> format following the format required by DISGAS.</w:t>
      </w:r>
      <w:r w:rsidR="0074338F">
        <w:rPr>
          <w:sz w:val="22"/>
        </w:rPr>
        <w:t xml:space="preserve"> This file is also needed by TWODEE, but in a slightly different format. </w:t>
      </w:r>
      <w:r w:rsidR="005034BD">
        <w:rPr>
          <w:sz w:val="22"/>
        </w:rPr>
        <w:t>APVGDM is designed to convert the topography file into a TWODEE-readable version.</w:t>
      </w:r>
    </w:p>
    <w:p w:rsidR="005034BD" w:rsidRDefault="00C530E5" w:rsidP="006C4902">
      <w:pPr>
        <w:pStyle w:val="ListParagraph"/>
        <w:numPr>
          <w:ilvl w:val="0"/>
          <w:numId w:val="6"/>
        </w:numPr>
        <w:rPr>
          <w:sz w:val="22"/>
        </w:rPr>
      </w:pPr>
      <w:proofErr w:type="spellStart"/>
      <w:r w:rsidRPr="00C530E5">
        <w:rPr>
          <w:b/>
          <w:sz w:val="22"/>
        </w:rPr>
        <w:lastRenderedPageBreak/>
        <w:t>roughness.grd</w:t>
      </w:r>
      <w:proofErr w:type="spellEnd"/>
      <w:r>
        <w:rPr>
          <w:sz w:val="22"/>
        </w:rPr>
        <w:t xml:space="preserve">: a file that describes the roughness length in ASCII GRD format following the format required by DISGAS. In DISGAS it is possible to set a uniform value in the </w:t>
      </w:r>
      <w:proofErr w:type="spellStart"/>
      <w:r>
        <w:rPr>
          <w:sz w:val="22"/>
        </w:rPr>
        <w:t>disgas.inp</w:t>
      </w:r>
      <w:proofErr w:type="spellEnd"/>
      <w:r>
        <w:rPr>
          <w:sz w:val="22"/>
        </w:rPr>
        <w:t xml:space="preserve"> file, in which case </w:t>
      </w:r>
      <w:proofErr w:type="spellStart"/>
      <w:r>
        <w:rPr>
          <w:sz w:val="22"/>
        </w:rPr>
        <w:t>roughness.grd</w:t>
      </w:r>
      <w:proofErr w:type="spellEnd"/>
      <w:r>
        <w:rPr>
          <w:sz w:val="22"/>
        </w:rPr>
        <w:t xml:space="preserve"> is not required.</w:t>
      </w:r>
    </w:p>
    <w:p w:rsidR="00C530E5" w:rsidRPr="00C530E5" w:rsidRDefault="00C530E5" w:rsidP="00C530E5">
      <w:r>
        <w:t>Other optional files are required depending on the options chosen by the user.</w:t>
      </w:r>
    </w:p>
    <w:p w:rsidR="00CE18F0" w:rsidRPr="00CE18F0" w:rsidRDefault="00CE18F0"/>
    <w:sectPr w:rsidR="00CE18F0" w:rsidRPr="00CE18F0" w:rsidSect="00CE18F0">
      <w:footerReference w:type="default" r:id="rId1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0280" w:rsidRDefault="001F0280" w:rsidP="00CE18F0">
      <w:pPr>
        <w:spacing w:after="0" w:line="240" w:lineRule="auto"/>
      </w:pPr>
      <w:r>
        <w:separator/>
      </w:r>
    </w:p>
  </w:endnote>
  <w:endnote w:type="continuationSeparator" w:id="0">
    <w:p w:rsidR="001F0280" w:rsidRDefault="001F0280" w:rsidP="00CE18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18F0" w:rsidRDefault="00CE18F0">
    <w:pPr>
      <w:pStyle w:val="Footer"/>
      <w:jc w:val="right"/>
    </w:pPr>
  </w:p>
  <w:p w:rsidR="00CE18F0" w:rsidRDefault="00CE18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9031114"/>
      <w:docPartObj>
        <w:docPartGallery w:val="Page Numbers (Bottom of Page)"/>
        <w:docPartUnique/>
      </w:docPartObj>
    </w:sdtPr>
    <w:sdtEndPr>
      <w:rPr>
        <w:noProof/>
      </w:rPr>
    </w:sdtEndPr>
    <w:sdtContent>
      <w:p w:rsidR="00CE18F0" w:rsidRDefault="00CE18F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CE18F0" w:rsidRDefault="00CE18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0280" w:rsidRDefault="001F0280" w:rsidP="00CE18F0">
      <w:pPr>
        <w:spacing w:after="0" w:line="240" w:lineRule="auto"/>
      </w:pPr>
      <w:r>
        <w:separator/>
      </w:r>
    </w:p>
  </w:footnote>
  <w:footnote w:type="continuationSeparator" w:id="0">
    <w:p w:rsidR="001F0280" w:rsidRDefault="001F0280" w:rsidP="00CE18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40874"/>
    <w:multiLevelType w:val="hybridMultilevel"/>
    <w:tmpl w:val="E1202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F23C0C"/>
    <w:multiLevelType w:val="hybridMultilevel"/>
    <w:tmpl w:val="D62AA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A101F3"/>
    <w:multiLevelType w:val="hybridMultilevel"/>
    <w:tmpl w:val="EFE00A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A04346A"/>
    <w:multiLevelType w:val="hybridMultilevel"/>
    <w:tmpl w:val="E8FCC3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E333AB5"/>
    <w:multiLevelType w:val="hybridMultilevel"/>
    <w:tmpl w:val="D8EA1D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0B85A28"/>
    <w:multiLevelType w:val="hybridMultilevel"/>
    <w:tmpl w:val="F7DC34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8F0"/>
    <w:rsid w:val="001F0280"/>
    <w:rsid w:val="005034BD"/>
    <w:rsid w:val="006C4902"/>
    <w:rsid w:val="0074338F"/>
    <w:rsid w:val="008A1B8C"/>
    <w:rsid w:val="00973828"/>
    <w:rsid w:val="009A5FA7"/>
    <w:rsid w:val="00B45574"/>
    <w:rsid w:val="00B630BE"/>
    <w:rsid w:val="00C530E5"/>
    <w:rsid w:val="00C77541"/>
    <w:rsid w:val="00CE18F0"/>
    <w:rsid w:val="00EE3EE2"/>
    <w:rsid w:val="00F14939"/>
    <w:rsid w:val="00F612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24D4BF"/>
  <w15:chartTrackingRefBased/>
  <w15:docId w15:val="{7AA3598F-1507-4CF3-9056-84B4BCAD6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3828"/>
    <w:rPr>
      <w:rFonts w:ascii="Times New Roman" w:hAnsi="Times New Roman"/>
    </w:rPr>
  </w:style>
  <w:style w:type="paragraph" w:styleId="Heading1">
    <w:name w:val="heading 1"/>
    <w:basedOn w:val="Normal"/>
    <w:next w:val="Normal"/>
    <w:link w:val="Heading1Char"/>
    <w:uiPriority w:val="9"/>
    <w:qFormat/>
    <w:rsid w:val="00973828"/>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973828"/>
    <w:pPr>
      <w:keepNext/>
      <w:keepLines/>
      <w:spacing w:before="40" w:after="0"/>
      <w:outlineLvl w:val="1"/>
    </w:pPr>
    <w:rPr>
      <w:rFonts w:eastAsiaTheme="majorEastAsia" w:cstheme="majorBidi"/>
      <w:b/>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18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18F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73828"/>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CE18F0"/>
    <w:pPr>
      <w:outlineLvl w:val="9"/>
    </w:pPr>
    <w:rPr>
      <w:lang w:val="en-US"/>
    </w:rPr>
  </w:style>
  <w:style w:type="paragraph" w:styleId="BalloonText">
    <w:name w:val="Balloon Text"/>
    <w:basedOn w:val="Normal"/>
    <w:link w:val="BalloonTextChar"/>
    <w:uiPriority w:val="99"/>
    <w:semiHidden/>
    <w:unhideWhenUsed/>
    <w:rsid w:val="00CE18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18F0"/>
    <w:rPr>
      <w:rFonts w:ascii="Segoe UI" w:hAnsi="Segoe UI" w:cs="Segoe UI"/>
      <w:sz w:val="18"/>
      <w:szCs w:val="18"/>
    </w:rPr>
  </w:style>
  <w:style w:type="paragraph" w:styleId="Header">
    <w:name w:val="header"/>
    <w:basedOn w:val="Normal"/>
    <w:link w:val="HeaderChar"/>
    <w:uiPriority w:val="99"/>
    <w:unhideWhenUsed/>
    <w:rsid w:val="00CE18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18F0"/>
  </w:style>
  <w:style w:type="paragraph" w:styleId="Footer">
    <w:name w:val="footer"/>
    <w:basedOn w:val="Normal"/>
    <w:link w:val="FooterChar"/>
    <w:uiPriority w:val="99"/>
    <w:unhideWhenUsed/>
    <w:rsid w:val="00CE18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18F0"/>
  </w:style>
  <w:style w:type="character" w:customStyle="1" w:styleId="Heading2Char">
    <w:name w:val="Heading 2 Char"/>
    <w:basedOn w:val="DefaultParagraphFont"/>
    <w:link w:val="Heading2"/>
    <w:uiPriority w:val="9"/>
    <w:rsid w:val="00973828"/>
    <w:rPr>
      <w:rFonts w:ascii="Times New Roman" w:eastAsiaTheme="majorEastAsia" w:hAnsi="Times New Roman" w:cstheme="majorBidi"/>
      <w:b/>
      <w:color w:val="000000" w:themeColor="text1"/>
      <w:sz w:val="24"/>
      <w:szCs w:val="26"/>
    </w:rPr>
  </w:style>
  <w:style w:type="paragraph" w:styleId="ListParagraph">
    <w:name w:val="List Paragraph"/>
    <w:basedOn w:val="Normal"/>
    <w:uiPriority w:val="34"/>
    <w:qFormat/>
    <w:rsid w:val="00973828"/>
    <w:pPr>
      <w:spacing w:after="0" w:line="240" w:lineRule="auto"/>
      <w:ind w:left="720"/>
      <w:contextualSpacing/>
    </w:pPr>
    <w:rPr>
      <w:rFonts w:eastAsia="Arial Unicode MS" w:cs="Times New Roman"/>
      <w:sz w:val="24"/>
      <w:szCs w:val="24"/>
      <w:lang w:val="en-US"/>
    </w:rPr>
  </w:style>
  <w:style w:type="character" w:customStyle="1" w:styleId="None">
    <w:name w:val="None"/>
    <w:qFormat/>
    <w:rsid w:val="008A1B8C"/>
  </w:style>
  <w:style w:type="paragraph" w:styleId="NormalWeb">
    <w:name w:val="Normal (Web)"/>
    <w:basedOn w:val="Normal"/>
    <w:uiPriority w:val="99"/>
    <w:unhideWhenUsed/>
    <w:rsid w:val="008A1B8C"/>
    <w:pPr>
      <w:spacing w:before="100" w:beforeAutospacing="1" w:after="100" w:afterAutospacing="1" w:line="240" w:lineRule="auto"/>
    </w:pPr>
    <w:rPr>
      <w:rFonts w:eastAsia="Times New Roman" w:cs="Times New Roman"/>
      <w:sz w:val="24"/>
      <w:szCs w:val="24"/>
      <w:lang w:val="it-IT" w:eastAsia="it-IT"/>
    </w:rPr>
  </w:style>
  <w:style w:type="paragraph" w:styleId="NoSpacing">
    <w:name w:val="No Spacing"/>
    <w:uiPriority w:val="1"/>
    <w:qFormat/>
    <w:rsid w:val="00F14939"/>
    <w:pPr>
      <w:spacing w:after="0" w:line="240" w:lineRule="auto"/>
    </w:pPr>
    <w:rPr>
      <w:rFonts w:ascii="Times New Roman" w:hAnsi="Times New Roman"/>
    </w:rPr>
  </w:style>
  <w:style w:type="character" w:styleId="Hyperlink">
    <w:name w:val="Hyperlink"/>
    <w:basedOn w:val="DefaultParagraphFont"/>
    <w:uiPriority w:val="99"/>
    <w:unhideWhenUsed/>
    <w:rsid w:val="00F14939"/>
    <w:rPr>
      <w:color w:val="0563C1" w:themeColor="hyperlink"/>
      <w:u w:val="single"/>
    </w:rPr>
  </w:style>
  <w:style w:type="character" w:styleId="UnresolvedMention">
    <w:name w:val="Unresolved Mention"/>
    <w:basedOn w:val="DefaultParagraphFont"/>
    <w:uiPriority w:val="99"/>
    <w:semiHidden/>
    <w:unhideWhenUsed/>
    <w:rsid w:val="00F14939"/>
    <w:rPr>
      <w:color w:val="605E5C"/>
      <w:shd w:val="clear" w:color="auto" w:fill="E1DFDD"/>
    </w:rPr>
  </w:style>
  <w:style w:type="paragraph" w:customStyle="1" w:styleId="Heading2A">
    <w:name w:val="Heading 2 A"/>
    <w:qFormat/>
    <w:rsid w:val="00B630BE"/>
    <w:pPr>
      <w:keepNext/>
      <w:keepLines/>
      <w:widowControl w:val="0"/>
      <w:spacing w:before="360" w:after="80" w:line="240" w:lineRule="auto"/>
    </w:pPr>
    <w:rPr>
      <w:rFonts w:ascii="Cambria" w:eastAsia="Arial Unicode MS" w:hAnsi="Cambria" w:cs="Arial Unicode MS"/>
      <w:b/>
      <w:bCs/>
      <w:color w:val="000000"/>
      <w:sz w:val="36"/>
      <w:szCs w:val="36"/>
      <w:lang w:val="en-US" w:eastAsia="zh-CN" w:bidi="hi-IN"/>
    </w:rPr>
  </w:style>
  <w:style w:type="paragraph" w:styleId="TOC1">
    <w:name w:val="toc 1"/>
    <w:basedOn w:val="Normal"/>
    <w:next w:val="Normal"/>
    <w:autoRedefine/>
    <w:uiPriority w:val="39"/>
    <w:unhideWhenUsed/>
    <w:rsid w:val="00EE3EE2"/>
    <w:pPr>
      <w:spacing w:after="100"/>
    </w:pPr>
  </w:style>
  <w:style w:type="paragraph" w:styleId="TOC2">
    <w:name w:val="toc 2"/>
    <w:basedOn w:val="Normal"/>
    <w:next w:val="Normal"/>
    <w:autoRedefine/>
    <w:uiPriority w:val="39"/>
    <w:unhideWhenUsed/>
    <w:rsid w:val="00EE3EE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naconda.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pc.ncep.noaa.gov/products/wesley/wgrib2/"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FabioDioguardi/Twodee" TargetMode="External"/><Relationship Id="rId4" Type="http://schemas.openxmlformats.org/officeDocument/2006/relationships/settings" Target="settings.xml"/><Relationship Id="rId9" Type="http://schemas.openxmlformats.org/officeDocument/2006/relationships/hyperlink" Target="https://github.com/FabioDioguardi/DISGAS"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117F75-7F6A-4DC5-AC90-4F8480F92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8</Pages>
  <Words>2595</Words>
  <Characters>14793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Dioguardi, Fabio</dc:creator>
  <cp:keywords/>
  <dc:description/>
  <cp:lastModifiedBy>Dioguardi, Fabio</cp:lastModifiedBy>
  <cp:revision>9</cp:revision>
  <dcterms:created xsi:type="dcterms:W3CDTF">2020-12-02T16:11:00Z</dcterms:created>
  <dcterms:modified xsi:type="dcterms:W3CDTF">2020-12-02T16:56:00Z</dcterms:modified>
</cp:coreProperties>
</file>