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77777777" w:rsidR="00CF704B" w:rsidRPr="003654C3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i/>
                                <w:iCs/>
                                <w:color w:val="000000" w:themeColor="text1"/>
                              </w:rPr>
                              <w:t>CASTAÑEDA UBALDO, RAUL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77777777" w:rsidR="00CF704B" w:rsidRPr="003654C3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i/>
                          <w:iCs/>
                          <w:color w:val="000000" w:themeColor="text1"/>
                        </w:rPr>
                        <w:t>CASTAÑEDA UBALDO, RAUL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48F5721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5E926F4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33BF1EE" w14:textId="3BE4E66D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0FED121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19550A0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6EF04E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04151378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71903C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5B3A0D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42EB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51E4F33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9016CA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2B7554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7411C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38A900D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6D4717B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7649F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57DF2BE5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B49283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098B6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124836E5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06832DD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39600FEA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E951C7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6E519FDD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EE0071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7C647B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064A46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496AC8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33660519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493793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07F46A20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4A8FD2F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F38C66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1FB69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0DFD462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F020C0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3BB5371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45D8EA5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3654C3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2025-11-11T01:24:00Z</dcterms:created>
  <dcterms:modified xsi:type="dcterms:W3CDTF">2025-11-11T01:44:00Z</dcterms:modified>
</cp:coreProperties>
</file>