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 w:eastAsia="Microsoft YaHei"/>
          <w:b/>
          <w:color w:val="193755"/>
          <w:sz w:val="40"/>
        </w:rPr>
        <w:t>EduAgent 部署运行说明</w:t>
      </w:r>
    </w:p>
    <w:p>
      <w:pPr>
        <w:spacing w:after="80"/>
      </w:pPr>
      <w:r>
        <w:rPr>
          <w:rFonts w:ascii="Calibri" w:hAnsi="Calibri" w:eastAsia="Microsoft YaHei"/>
          <w:sz w:val="21"/>
        </w:rPr>
        <w:t>更新时间：2026-07-09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1. 文档目的</w:t>
      </w:r>
    </w:p>
    <w:p>
      <w:pPr>
        <w:spacing w:after="80"/>
      </w:pPr>
      <w:r>
        <w:rPr>
          <w:rFonts w:ascii="Calibri" w:hAnsi="Calibri" w:eastAsia="Microsoft YaHei"/>
          <w:sz w:val="21"/>
        </w:rPr>
        <w:t>本文档说明 EduAgent 的本地运行、基础设施启动、环境变量配置、健康检查、常见问题和部署边界。文档用于参赛提交和评审复现，目标是让评审人员能在常规开发环境中快速判断系统是否可运行、可降级、可解释。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2. 环境要求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9"/>
        <w:gridCol w:w="4989"/>
      </w:tblGrid>
      <w:tr>
        <w:trPr>
          <w:tblHeader w:val="true"/>
        </w:trPr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类型</w:t>
            </w:r>
          </w:p>
        </w:tc>
        <w:tc>
          <w:tcPr>
            <w:tcW w:type="dxa" w:w="4989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要求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操作系统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Windows、macOS 或 Linux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后端运行时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Python 3.12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Python 包管理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uv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前端运行时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Node.js + pnpm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可选容器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Docker / Docker Compose</w:t>
            </w:r>
          </w:p>
        </w:tc>
      </w:tr>
      <w:tr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推荐浏览器</w:t>
            </w:r>
          </w:p>
        </w:tc>
        <w:tc>
          <w:tcPr>
            <w:tcW w:type="dxa" w:w="4989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Chrome、Edge 或其他现代浏览器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3. 项目结构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EduAgent/</w:t>
              <w:br/>
              <w:t xml:space="preserve">  backend/     后端 FastAPI、Agent、Wiki、数据库模型和测试</w:t>
              <w:br/>
              <w:t xml:space="preserve">  frontend/    前端 Next.js 页面、组件和测试</w:t>
              <w:br/>
              <w:t xml:space="preserve">  docs/        演示脚本、评测说明和参赛文档包</w:t>
              <w:br/>
              <w:t xml:space="preserve">  projects/    答辩 PPT 工程与视觉材料</w:t>
              <w:br/>
              <w:t xml:space="preserve">  docker-compose.yml</w:t>
              <w:br/>
              <w:t xml:space="preserve">  README.md</w:t>
            </w:r>
          </w:p>
        </w:tc>
      </w:tr>
    </w:tbl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4. 部署形态说明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形态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用途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说明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SQLite 快速演示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个人评审、本地答辩预演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不依赖 Docker，启动最快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Docker 基础设施 + 本地应用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更接近比赛/部署形态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Docker 启动 PostgreSQL、Redis、MinIO，本地启动前后端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生产化部署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后续增强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需补充应用 Dockerfile、反向代理、日志、密钥托管和监控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Calibri" w:hAnsi="Calibri" w:eastAsia="Microsoft YaHei"/>
          <w:sz w:val="21"/>
        </w:rPr>
        <w:t>当前仓库主要面向参赛演示和开发复现。</w:t>
      </w:r>
      <w:r>
        <w:rPr>
          <w:rFonts w:ascii="Consolas" w:hAnsi="Consolas" w:eastAsia="Consolas"/>
          <w:color w:val="404040"/>
          <w:sz w:val="20"/>
        </w:rPr>
        <w:t>docker-compose.yml</w:t>
      </w:r>
      <w:r>
        <w:rPr>
          <w:rFonts w:ascii="Calibri" w:hAnsi="Calibri" w:eastAsia="Microsoft YaHei"/>
          <w:sz w:val="21"/>
        </w:rPr>
        <w:t xml:space="preserve"> 提供中间件，不把前后端应用容器化描述为已完成能力。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5. 基础设施启动</w:t>
      </w:r>
    </w:p>
    <w:p>
      <w:pPr>
        <w:spacing w:after="80"/>
      </w:pPr>
      <w:r>
        <w:rPr>
          <w:rFonts w:ascii="Calibri" w:hAnsi="Calibri" w:eastAsia="Microsoft YaHei"/>
          <w:sz w:val="21"/>
        </w:rPr>
        <w:t>如需使用更接近比赛/部署形态的 PostgreSQL、Redis、MinIO，可运行：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docker compose up -d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停止基础设施：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docker compose down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说明：不启动 Docker 也可使用本地 SQLite 快速开发运行，但数据库一致性和对象存储能力会弱于完整基础设施。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6. 后端配置</w:t>
      </w:r>
    </w:p>
    <w:p>
      <w:pPr>
        <w:spacing w:after="80"/>
      </w:pPr>
      <w:r>
        <w:rPr>
          <w:rFonts w:ascii="Calibri" w:hAnsi="Calibri" w:eastAsia="Microsoft YaHei"/>
          <w:sz w:val="21"/>
        </w:rPr>
        <w:t>进入后端目录：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cd backend</w:t>
              <w:br/>
              <w:t>uv sync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复制环境变量示例：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cp .env.example .env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Windows PowerShell 可使用：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powershell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Copy-Item .env.example .env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关键环境变量：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变量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用途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是否必需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DATABASE_URL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数据库连接，PostgreSQL 或 SQLite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推荐配置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JWT_SECRET_KEY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JWT 签名密钥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必需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SPARK_APP_ID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讯飞星火应用 ID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真实 LLM 必需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SPARK_API_KEY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讯飞星火 API Key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真实 LLM 必需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SPARK_API_SECRET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讯飞星火 API Secret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真实 LLM 必需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SPARK_DEV_MODE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开发模式模拟内容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演示兜底可用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XUNFEI_SAFETY_*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讯飞安全护栏配置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XUNFEI_TTS_*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讯飞 TTS 配置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DEEPSEEK_ENABLED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启用 DeepSeek 备用模型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TAVILY_API_KEY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相关视频联网检索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WIKI_VECTOR_BACKEND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向量后端选择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可选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7. 数据库迁移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cd backend</w:t>
              <w:br/>
              <w:t>uv run alembic upgrade head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若使用 SQLite 快速演示，可按 README 中的默认配置运行。若使用 PostgreSQL，需先确认 Docker Compose 中数据库已启动。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8. 启动后端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cd backend</w:t>
              <w:br/>
              <w:t>uv run uvicorn app.main:app --reload --host 127.0.0.1 --port 8000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健康检查：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curl http://127.0.0.1:8000/health</w:t>
            </w:r>
          </w:p>
        </w:tc>
      </w:tr>
    </w:tbl>
    <w:p>
      <w:pPr>
        <w:spacing w:after="80"/>
      </w:pPr>
      <w:r>
        <w:rPr>
          <w:rFonts w:ascii="Consolas" w:hAnsi="Consolas" w:eastAsia="Consolas"/>
          <w:color w:val="404040"/>
          <w:sz w:val="20"/>
        </w:rPr>
        <w:t>/health</w:t>
      </w:r>
      <w:r>
        <w:rPr>
          <w:rFonts w:ascii="Calibri" w:hAnsi="Calibri" w:eastAsia="Microsoft YaHei"/>
          <w:sz w:val="21"/>
        </w:rPr>
        <w:t xml:space="preserve"> 会返回 LLM、向量库、缓存、视频搜索、安全护栏和 TTS 等状态。若 </w:t>
      </w:r>
      <w:r>
        <w:rPr>
          <w:rFonts w:ascii="Consolas" w:hAnsi="Consolas" w:eastAsia="Consolas"/>
          <w:color w:val="404040"/>
          <w:sz w:val="20"/>
        </w:rPr>
        <w:t>llm_mode=dev</w:t>
      </w:r>
      <w:r>
        <w:rPr>
          <w:rFonts w:ascii="Calibri" w:hAnsi="Calibri" w:eastAsia="Microsoft YaHei"/>
          <w:sz w:val="21"/>
        </w:rPr>
        <w:t>，表示当前使用开发模式模拟内容，答辩时需要主动说明。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9. 启动前端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bash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cd frontend</w:t>
              <w:br/>
              <w:t>pnpm install</w:t>
              <w:br/>
              <w:t>pnpm dev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默认访问：</w:t>
      </w:r>
    </w:p>
    <w:p>
      <w:pPr>
        <w:spacing w:before="60" w:after="20"/>
      </w:pPr>
      <w:r>
        <w:rPr>
          <w:rFonts w:ascii="Calibri" w:hAnsi="Calibri" w:eastAsia="Microsoft YaHei"/>
          <w:b/>
          <w:color w:val="5A5A5A"/>
          <w:sz w:val="17"/>
        </w:rPr>
        <w:t>text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8"/>
      </w:tblGrid>
      <w:tr>
        <w:tc>
          <w:tcPr>
            <w:tcW w:type="dxa" w:w="9978"/>
            <w:shd w:fill="F7F9FC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onsolas" w:hAnsi="Consolas" w:eastAsia="Consolas"/>
                <w:color w:val="2D2D2D"/>
                <w:sz w:val="16"/>
              </w:rPr>
              <w:t>http://localhost:3000</w:t>
            </w:r>
          </w:p>
        </w:tc>
      </w:tr>
    </w:tbl>
    <w:p>
      <w:pPr>
        <w:spacing w:after="80"/>
      </w:pPr>
      <w:r>
        <w:rPr>
          <w:rFonts w:ascii="Calibri" w:hAnsi="Calibri" w:eastAsia="Microsoft YaHei"/>
          <w:sz w:val="21"/>
        </w:rPr>
        <w:t>若 3000 端口被占用，可按 Next.js 输出使用替代端口。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10. 推荐演示启动顺序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启动 Docker 基础设施：</w:t>
      </w:r>
      <w:r>
        <w:rPr>
          <w:rFonts w:ascii="Consolas" w:hAnsi="Consolas" w:eastAsia="Consolas"/>
          <w:color w:val="404040"/>
          <w:sz w:val="19"/>
        </w:rPr>
        <w:t>docker compose up -d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后端执行依赖安装和迁移：</w:t>
      </w:r>
      <w:r>
        <w:rPr>
          <w:rFonts w:ascii="Consolas" w:hAnsi="Consolas" w:eastAsia="Consolas"/>
          <w:color w:val="404040"/>
          <w:sz w:val="19"/>
        </w:rPr>
        <w:t>uv sync</w:t>
      </w:r>
      <w:r>
        <w:rPr>
          <w:rFonts w:ascii="Calibri" w:hAnsi="Calibri" w:eastAsia="Microsoft YaHei"/>
          <w:sz w:val="20"/>
        </w:rPr>
        <w:t>、</w:t>
      </w:r>
      <w:r>
        <w:rPr>
          <w:rFonts w:ascii="Consolas" w:hAnsi="Consolas" w:eastAsia="Consolas"/>
          <w:color w:val="404040"/>
          <w:sz w:val="19"/>
        </w:rPr>
        <w:t>uv run alembic upgrade head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启动后端：</w:t>
      </w:r>
      <w:r>
        <w:rPr>
          <w:rFonts w:ascii="Consolas" w:hAnsi="Consolas" w:eastAsia="Consolas"/>
          <w:color w:val="404040"/>
          <w:sz w:val="19"/>
        </w:rPr>
        <w:t>uv run uvicorn app.main:app --reload --host 127.0.0.1 --port 8000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>启动前端：</w:t>
      </w:r>
      <w:r>
        <w:rPr>
          <w:rFonts w:ascii="Consolas" w:hAnsi="Consolas" w:eastAsia="Consolas"/>
          <w:color w:val="404040"/>
          <w:sz w:val="19"/>
        </w:rPr>
        <w:t>pnpm dev</w:t>
      </w:r>
      <w:r>
        <w:rPr>
          <w:rFonts w:ascii="Calibri" w:hAnsi="Calibri" w:eastAsia="Microsoft YaHei"/>
          <w:sz w:val="20"/>
        </w:rPr>
        <w:t>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 xml:space="preserve">访问 </w:t>
      </w:r>
      <w:r>
        <w:rPr>
          <w:rFonts w:ascii="Consolas" w:hAnsi="Consolas" w:eastAsia="Consolas"/>
          <w:color w:val="404040"/>
          <w:sz w:val="19"/>
        </w:rPr>
        <w:t>/health</w:t>
      </w:r>
      <w:r>
        <w:rPr>
          <w:rFonts w:ascii="Calibri" w:hAnsi="Calibri" w:eastAsia="Microsoft YaHei"/>
          <w:sz w:val="20"/>
        </w:rPr>
        <w:t xml:space="preserve"> 确认外部工具状态。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 xml:space="preserve">运行 </w:t>
      </w:r>
      <w:r>
        <w:rPr>
          <w:rFonts w:ascii="Consolas" w:hAnsi="Consolas" w:eastAsia="Consolas"/>
          <w:color w:val="404040"/>
          <w:sz w:val="19"/>
        </w:rPr>
        <w:t>cd backend &amp;&amp; uv run pytest tests/evals -q</w:t>
      </w:r>
      <w:r>
        <w:rPr>
          <w:rFonts w:ascii="Calibri" w:hAnsi="Calibri" w:eastAsia="Microsoft YaHei"/>
          <w:sz w:val="20"/>
        </w:rPr>
        <w:t>，确认评测基线通过。</w:t>
      </w:r>
    </w:p>
    <w:p>
      <w:pPr>
        <w:pStyle w:val="ListNumber"/>
        <w:spacing w:after="40"/>
        <w:ind w:left="317"/>
      </w:pPr>
      <w:r>
        <w:rPr>
          <w:rFonts w:ascii="Calibri" w:hAnsi="Calibri" w:eastAsia="Microsoft YaHei"/>
          <w:sz w:val="20"/>
        </w:rPr>
        <w:t xml:space="preserve">按 </w:t>
      </w:r>
      <w:r>
        <w:rPr>
          <w:rFonts w:ascii="Consolas" w:hAnsi="Consolas" w:eastAsia="Consolas"/>
          <w:color w:val="404040"/>
          <w:sz w:val="19"/>
        </w:rPr>
        <w:t>docs/demo-script.md</w:t>
      </w:r>
      <w:r>
        <w:rPr>
          <w:rFonts w:ascii="Calibri" w:hAnsi="Calibri" w:eastAsia="Microsoft YaHei"/>
          <w:sz w:val="20"/>
        </w:rPr>
        <w:t xml:space="preserve"> 跑通 10 分钟演示。</w:t>
      </w: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11. 常见问题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rPr>
          <w:tblHeader w:val="true"/>
        </w:trPr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问题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可能原因</w:t>
            </w:r>
          </w:p>
        </w:tc>
        <w:tc>
          <w:tcPr>
            <w:tcW w:type="dxa" w:w="3326"/>
            <w:vAlign w:val="center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6" w:val="single" w:color="9EADCC"/>
              <w:left w:sz="4" w:val="single" w:color="C8D6EA"/>
              <w:bottom w:sz="6" w:val="single" w:color="9EADCC"/>
              <w:right w:sz="4" w:val="single" w:color="C8D6EA"/>
            </w:tcBorders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93755"/>
                <w:sz w:val="16"/>
              </w:rPr>
              <w:t>处理方式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登录后跳回登录页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JWT 配置或前端 token 状态异常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检查 JWT_SECRET_KEY，清理浏览器本地存储后重试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聊天真实生成失败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未配置星火凭证且未启用开发模式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配置星火环境变量，或演示时启用 SPARK_DEV_MODE=true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相关视频不可用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未配置 TAVILY_API_KEY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保持不可用提示；该能力不影响核心学习链路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TTS 朗读不可用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未配置讯飞 TTS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配置 TTS 凭证，或说明该能力可选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RAG 检索异常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向量库未初始化或 Chroma 服务不可用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使用本地向量兜底，或启动 Chroma HTTP 服务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前端 CORS 报错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API 地址或后端 CORS 配置不一致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AFBFC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检查前端环境变量和后端允许来源</w:t>
            </w:r>
          </w:p>
        </w:tc>
      </w:tr>
      <w:tr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Docker 未启动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未运行 Docker Desktop 或权限不足</w:t>
            </w:r>
          </w:p>
        </w:tc>
        <w:tc>
          <w:tcPr>
            <w:tcW w:type="dxa" w:w="332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/>
            </w:pPr>
            <w:r>
              <w:rPr>
                <w:rFonts w:ascii="Calibri" w:hAnsi="Calibri" w:eastAsia="Microsoft YaHei"/>
                <w:sz w:val="16"/>
              </w:rPr>
              <w:t>使用 SQLite 快速演示模式，或先启动 Docker</w:t>
            </w:r>
          </w:p>
        </w:tc>
      </w:tr>
    </w:tbl>
    <w:p>
      <w:pPr>
        <w:spacing w:after="40"/>
      </w:pPr>
    </w:p>
    <w:p>
      <w:pPr>
        <w:pStyle w:val="Heading1"/>
        <w:jc w:val="left"/>
      </w:pPr>
      <w:r>
        <w:rPr>
          <w:rFonts w:ascii="Calibri" w:hAnsi="Calibri" w:eastAsia="Microsoft YaHei"/>
          <w:b/>
          <w:color w:val="1F4E79"/>
          <w:sz w:val="32"/>
        </w:rPr>
        <w:t>12. 生产部署建议</w:t>
      </w:r>
    </w:p>
    <w:p>
      <w:pPr>
        <w:spacing w:after="80"/>
      </w:pPr>
      <w:r>
        <w:rPr>
          <w:rFonts w:ascii="Calibri" w:hAnsi="Calibri" w:eastAsia="Microsoft YaHei"/>
          <w:sz w:val="21"/>
        </w:rPr>
        <w:t>当前仓库主要面向参赛演示和开发复现。若进入生产部署，建议补充：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后端和前端应用 Dockerfile，以及统一的 compose/helm 部署描述。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独立 PostgreSQL、Redis、MinIO/S3 和 Chroma 服务。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HTTPS、反向代理、日志采集和进程守护。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更细粒度的学习数据权限、资源配额和课程空间管理。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密钥托管和环境隔离。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CI 质量门禁和自动部署流水线。</w:t>
      </w:r>
    </w:p>
    <w:p>
      <w:pPr>
        <w:pStyle w:val="ListBullet"/>
        <w:spacing w:after="40"/>
        <w:ind w:left="317"/>
      </w:pPr>
      <w:r>
        <w:rPr>
          <w:rFonts w:ascii="Calibri" w:hAnsi="Calibri" w:eastAsia="Microsoft YaHei"/>
          <w:sz w:val="20"/>
        </w:rPr>
        <w:t>对 LLM 调用成本、限流、缓存命中率和失败率进行监控。</w:t>
      </w:r>
    </w:p>
    <w:sectPr w:rsidR="00FC693F" w:rsidRPr="0006063C" w:rsidSect="00034616">
      <w:footerReference w:type="default" r:id="rId9"/>
      <w:pgSz w:w="11906" w:h="16838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5A5A"/>
        <w:sz w:val="17"/>
      </w:rPr>
      <w:t>EduAgent 部署运行说明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937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93755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  <w:jc w:val="center"/>
    </w:pPr>
    <w:rPr>
      <w:rFonts w:asciiTheme="majorHAnsi" w:eastAsiaTheme="majorEastAsia" w:hAnsiTheme="majorHAnsi" w:cstheme="majorBidi" w:ascii="Calibri" w:hAnsi="Calibri" w:eastAsia="Microsoft YaHei"/>
      <w:b/>
      <w:color w:val="19375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EduAgent 部署运行说明</dc:title>
  <dc:subject>EduAgent competition documentation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