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 w:eastAsia="Microsoft YaHei"/>
          <w:b/>
          <w:color w:val="193755"/>
          <w:sz w:val="40"/>
        </w:rPr>
        <w:t>EduAgent 图表与证据索引</w:t>
      </w:r>
    </w:p>
    <w:p>
      <w:pPr>
        <w:spacing w:after="80"/>
      </w:pPr>
      <w:r>
        <w:rPr>
          <w:rFonts w:ascii="Calibri" w:hAnsi="Calibri" w:eastAsia="Microsoft YaHei"/>
          <w:sz w:val="21"/>
        </w:rPr>
        <w:t>更新时间：2026-07-09</w:t>
      </w:r>
    </w:p>
    <w:p>
      <w:pPr>
        <w:pStyle w:val="Heading1"/>
        <w:jc w:val="left"/>
      </w:pPr>
      <w:r>
        <w:rPr>
          <w:rFonts w:ascii="Calibri" w:hAnsi="Calibri" w:eastAsia="Microsoft YaHei"/>
          <w:b/>
          <w:color w:val="1F4E79"/>
          <w:sz w:val="32"/>
        </w:rPr>
        <w:t>1. 文档目的</w:t>
      </w:r>
    </w:p>
    <w:p>
      <w:pPr>
        <w:spacing w:after="80"/>
      </w:pPr>
      <w:r>
        <w:rPr>
          <w:rFonts w:ascii="Calibri" w:hAnsi="Calibri" w:eastAsia="Microsoft YaHei"/>
          <w:sz w:val="21"/>
        </w:rPr>
        <w:t>本文档汇总 EduAgent 参赛文档和答辩中可使用的图表、流程图、架构图、PPT、图片资产和工程证据，便于评审快速定位材料。本文档也说明哪些图表已经嵌入核心文档，哪些适合放入答辩 PPT 或 DOCX 汇编。</w:t>
      </w:r>
    </w:p>
    <w:p>
      <w:pPr>
        <w:pStyle w:val="Heading1"/>
        <w:jc w:val="left"/>
      </w:pPr>
      <w:r>
        <w:rPr>
          <w:rFonts w:ascii="Calibri" w:hAnsi="Calibri" w:eastAsia="Microsoft YaHei"/>
          <w:b/>
          <w:color w:val="1F4E79"/>
          <w:sz w:val="32"/>
        </w:rPr>
        <w:t>2. 答辩 PPT 资产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32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资产</w:t>
            </w:r>
          </w:p>
        </w:tc>
        <w:tc>
          <w:tcPr>
            <w:tcW w:type="dxa" w:w="332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路径</w:t>
            </w:r>
          </w:p>
        </w:tc>
        <w:tc>
          <w:tcPr>
            <w:tcW w:type="dxa" w:w="332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用途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PPTX 导出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projects/eduagent_demo_ppt169_20260612/exports/eduagent_demo_20260612_144253.pptx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答辩主文件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优化版 PPTX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projects/eduagent_demo_ppt169_20260612/exports/eduagent_demo_20260612_optimized.pptx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可选优化版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设计规范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projects/eduagent_demo_ppt169_20260612/design_spec.md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说明每页布局、标题、核心信息和视觉类型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演讲备注汇总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projects/eduagent_demo_ppt169_20260612/notes/total.md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14 页讲解词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源材料摘要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projects/eduagent_demo_ppt169_20260612/sources/eduagent_code_brief.md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PPT 叙事和工程事实来源</w:t>
            </w:r>
          </w:p>
        </w:tc>
      </w:tr>
    </w:tbl>
    <w:p>
      <w:pPr>
        <w:spacing w:after="40"/>
      </w:pPr>
    </w:p>
    <w:p>
      <w:pPr>
        <w:pStyle w:val="Heading1"/>
        <w:jc w:val="left"/>
      </w:pPr>
      <w:r>
        <w:rPr>
          <w:rFonts w:ascii="Calibri" w:hAnsi="Calibri" w:eastAsia="Microsoft YaHei"/>
          <w:b/>
          <w:color w:val="1F4E79"/>
          <w:sz w:val="32"/>
        </w:rPr>
        <w:t>3. SVG 页面索引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494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页码</w:t>
            </w:r>
          </w:p>
        </w:tc>
        <w:tc>
          <w:tcPr>
            <w:tcW w:type="dxa" w:w="2494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文件</w:t>
            </w:r>
          </w:p>
        </w:tc>
        <w:tc>
          <w:tcPr>
            <w:tcW w:type="dxa" w:w="2494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主题</w:t>
            </w:r>
          </w:p>
        </w:tc>
        <w:tc>
          <w:tcPr>
            <w:tcW w:type="dxa" w:w="2494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评审价值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01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projects/eduagent_demo_ppt169_20260612/svg_final/01_cover.svg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封面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项目定位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02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projects/eduagent_demo_ppt169_20260612/svg_final/02_pain_points.svg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教育痛点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需求层面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03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projects/eduagent_demo_ppt169_20260612/svg_final/03_value_chain.svg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价值链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从学生到资源到反馈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04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projects/eduagent_demo_ppt169_20260612/svg_final/04_architecture.svg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系统全景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架构图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05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projects/eduagent_demo_ppt169_20260612/svg_final/05_ai_fusion.svg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前沿 AI 融合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AI 技术结合点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06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projects/eduagent_demo_ppt169_20260612/svg_final/06_agents.svg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多 Agent 协同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智能体设计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07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projects/eduagent_demo_ppt169_20260612/svg_final/07_wiki.svg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LLM Wiki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知识中枢和防幻觉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08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projects/eduagent_demo_ppt169_20260612/svg_final/08_profile.svg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8 维画像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个性化依据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09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projects/eduagent_demo_ppt169_20260612/svg_final/09_resources.svg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多模态资源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资源类型覆盖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10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projects/eduagent_demo_ppt169_20260612/svg_final/10_learning_loop.svg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学习闭环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测验、错题、路径、仪表盘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11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projects/eduagent_demo_ppt169_20260612/svg_final/11_trust_safety.svg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可信与安全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RAG、引用、安全护栏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12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projects/eduagent_demo_ppt169_20260612/svg_final/12_engineering.svg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工程实现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流式、并行、可观测、导出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13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projects/eduagent_demo_ppt169_20260612/svg_final/13_innovation.svg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创新价值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差异化说明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14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projects/eduagent_demo_ppt169_20260612/svg_final/14_summary.svg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总结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要求覆盖总结</w:t>
            </w:r>
          </w:p>
        </w:tc>
      </w:tr>
    </w:tbl>
    <w:p>
      <w:pPr>
        <w:spacing w:after="40"/>
      </w:pPr>
    </w:p>
    <w:p>
      <w:pPr>
        <w:pStyle w:val="Heading1"/>
        <w:jc w:val="left"/>
      </w:pPr>
      <w:r>
        <w:rPr>
          <w:rFonts w:ascii="Calibri" w:hAnsi="Calibri" w:eastAsia="Microsoft YaHei"/>
          <w:b/>
          <w:color w:val="1F4E79"/>
          <w:sz w:val="32"/>
        </w:rPr>
        <w:t>4. PNG 图片资产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494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文件</w:t>
            </w:r>
          </w:p>
        </w:tc>
        <w:tc>
          <w:tcPr>
            <w:tcW w:type="dxa" w:w="2494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路径</w:t>
            </w:r>
          </w:p>
        </w:tc>
        <w:tc>
          <w:tcPr>
            <w:tcW w:type="dxa" w:w="2494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用途</w:t>
            </w:r>
          </w:p>
        </w:tc>
        <w:tc>
          <w:tcPr>
            <w:tcW w:type="dxa" w:w="2494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当前使用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架构背景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projects/eduagent_demo_ppt169_20260612/images/architecture_bg.png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系统架构页背景或插图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已嵌入系统开发说明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Agent 中枢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projects/eduagent_demo_ppt169_20260612/images/agents_hub.png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多 Agent 协同说明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已嵌入系统开发说明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Wiki 图谱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projects/eduagent_demo_ppt169_20260612/images/wiki_graph.png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LLM Wiki 和知识图谱说明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已嵌入系统开发说明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学习闭环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projects/eduagent_demo_ppt169_20260612/images/learning_loop.png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从画像到反馈的闭环说明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已嵌入需求分析说明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多模态资源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projects/eduagent_demo_ppt169_20260612/images/multimodal_resources.png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多类型资源展示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建议用于 PPT 或 DOCX 汇编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封面背景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projects/eduagent_demo_ppt169_20260612/images/cover_bg.png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答辩封面视觉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建议用于 PPT 或 DOCX 封面</w:t>
            </w:r>
          </w:p>
        </w:tc>
      </w:tr>
    </w:tbl>
    <w:p>
      <w:pPr>
        <w:spacing w:after="40"/>
      </w:pPr>
    </w:p>
    <w:p>
      <w:pPr>
        <w:pStyle w:val="Heading1"/>
        <w:jc w:val="left"/>
      </w:pPr>
      <w:r>
        <w:rPr>
          <w:rFonts w:ascii="Calibri" w:hAnsi="Calibri" w:eastAsia="Microsoft YaHei"/>
          <w:b/>
          <w:color w:val="1F4E79"/>
          <w:sz w:val="32"/>
        </w:rPr>
        <w:t>5. 文档内新增 Mermaid 图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32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图表</w:t>
            </w:r>
          </w:p>
        </w:tc>
        <w:tc>
          <w:tcPr>
            <w:tcW w:type="dxa" w:w="332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所在文档</w:t>
            </w:r>
          </w:p>
        </w:tc>
        <w:tc>
          <w:tcPr>
            <w:tcW w:type="dxa" w:w="332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作用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学生使用旅程图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01_需求分析说明书.md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说明从画像到资源再到反馈的真实学习路径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总体架构图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02_系统开发说明书.md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展示前端、API、Agent、Wiki、数据层关系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Agent 编排状态图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02_系统开发说明书.md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展示 LangGraph 编排节点和条件分支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学习路径反馈图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02_系统开发说明书.md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展示画像、知识图谱、测验、路径联动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AI 融合时序图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02_系统开发说明书.md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展示 RAG、LLM、安全审核和 SSE 输出流程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评测覆盖矩阵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03_测试说明书.md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展示自动评测如何支撑演示闭环</w:t>
            </w:r>
          </w:p>
        </w:tc>
      </w:tr>
    </w:tbl>
    <w:p>
      <w:pPr>
        <w:spacing w:after="40"/>
      </w:pPr>
    </w:p>
    <w:p>
      <w:pPr>
        <w:pStyle w:val="Heading1"/>
        <w:jc w:val="left"/>
      </w:pPr>
      <w:r>
        <w:rPr>
          <w:rFonts w:ascii="Calibri" w:hAnsi="Calibri" w:eastAsia="Microsoft YaHei"/>
          <w:b/>
          <w:color w:val="1F4E79"/>
          <w:sz w:val="32"/>
        </w:rPr>
        <w:t>6. 工程证据索引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32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证据类型</w:t>
            </w:r>
          </w:p>
        </w:tc>
        <w:tc>
          <w:tcPr>
            <w:tcW w:type="dxa" w:w="332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路径</w:t>
            </w:r>
          </w:p>
        </w:tc>
        <w:tc>
          <w:tcPr>
            <w:tcW w:type="dxa" w:w="332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说明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项目总览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README.md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项目定位、功能、架构、运行说明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架构设计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PLAN.md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技术选型、架构图、Agent 设计、需求映射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UI 规范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DESIGN.md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页面风格、组件规范、中文排版、动画规范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差距与优化记录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GAP_ANALYSIS.md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赛题要求达标情况和优化进度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自动评测说明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docs/evaluation.md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评测命令、范围和扩展规则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演示脚本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docs/demo-script.md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10 分钟演示步骤和异常处理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样例数据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backend/knowledge/ai_intro/demo_scenario.json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反向传播学习闭环演示样例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开源声明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OPEN_SOURCE_LICENSES.md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第三方依赖和协议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后端 Agent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backend/app/agents/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Router/Profile/Planner/Doc/Quiz/Code/Media/Video/Tutor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Wiki/RAG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backend/app/wiki/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静态知识图谱、向量检索、混合检索和入库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前端页面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frontend/src/app/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聊天、画像、资源、Wiki、路径、分析、复习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前端组件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frontend/src/components/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资源卡、Agent 状态、图谱、动画播放器等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测试用例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backend/tests/, frontend/src/**/*.test.*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后端、前端和评测基线</w:t>
            </w:r>
          </w:p>
        </w:tc>
      </w:tr>
    </w:tbl>
    <w:p>
      <w:pPr>
        <w:spacing w:after="40"/>
      </w:pPr>
    </w:p>
    <w:p>
      <w:pPr>
        <w:pStyle w:val="Heading1"/>
        <w:jc w:val="left"/>
      </w:pPr>
      <w:r>
        <w:rPr>
          <w:rFonts w:ascii="Calibri" w:hAnsi="Calibri" w:eastAsia="Microsoft YaHei"/>
          <w:b/>
          <w:color w:val="1F4E79"/>
          <w:sz w:val="32"/>
        </w:rPr>
        <w:t>7. 推荐放入答辩材料的图表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32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图表</w:t>
            </w:r>
          </w:p>
        </w:tc>
        <w:tc>
          <w:tcPr>
            <w:tcW w:type="dxa" w:w="332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建议位置</w:t>
            </w:r>
          </w:p>
        </w:tc>
        <w:tc>
          <w:tcPr>
            <w:tcW w:type="dxa" w:w="332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说明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系统架构图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系统开发说明、答辩第 4 页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展示前端、API、Agent、Wiki、数据层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多 Agent 协同图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系统开发说明、答辩第 6 页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展示 Router、Planner 和专业 Agent 分工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8 维画像雷达图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需求分析、答辩第 8 页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展示个性化依据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学习闭环图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需求分析/测试说明、答辩第 10 页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展示从资源到测验再到路径的闭环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可信与安全三层图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合规说明、答辩第 11 页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展示 RAG、引用、安全过滤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工程 KPI 卡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系统开发说明、答辩第 12 页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展示流式、并行、可观测、导出</w:t>
            </w:r>
          </w:p>
        </w:tc>
      </w:tr>
    </w:tbl>
    <w:p>
      <w:pPr>
        <w:spacing w:after="40"/>
      </w:pPr>
    </w:p>
    <w:p>
      <w:pPr>
        <w:pStyle w:val="Heading1"/>
        <w:jc w:val="left"/>
      </w:pPr>
      <w:r>
        <w:rPr>
          <w:rFonts w:ascii="Calibri" w:hAnsi="Calibri" w:eastAsia="Microsoft YaHei"/>
          <w:b/>
          <w:color w:val="1F4E79"/>
          <w:sz w:val="32"/>
        </w:rPr>
        <w:t>8. 证据使用建议</w:t>
      </w:r>
    </w:p>
    <w:p>
      <w:pPr>
        <w:pStyle w:val="ListNumber"/>
        <w:spacing w:after="40"/>
        <w:ind w:left="317"/>
      </w:pPr>
      <w:r>
        <w:rPr>
          <w:rFonts w:ascii="Calibri" w:hAnsi="Calibri" w:eastAsia="Microsoft YaHei"/>
          <w:sz w:val="20"/>
        </w:rPr>
        <w:t>需求层面优先引用第 02、03、08、10 页视觉材料。</w:t>
      </w:r>
    </w:p>
    <w:p>
      <w:pPr>
        <w:pStyle w:val="ListNumber"/>
        <w:spacing w:after="40"/>
        <w:ind w:left="317"/>
      </w:pPr>
      <w:r>
        <w:rPr>
          <w:rFonts w:ascii="Calibri" w:hAnsi="Calibri" w:eastAsia="Microsoft YaHei"/>
          <w:sz w:val="20"/>
        </w:rPr>
        <w:t>技术层面优先引用第 04、05、06、07、11、12 页视觉材料。</w:t>
      </w:r>
    </w:p>
    <w:p>
      <w:pPr>
        <w:pStyle w:val="ListNumber"/>
        <w:spacing w:after="40"/>
        <w:ind w:left="317"/>
      </w:pPr>
      <w:r>
        <w:rPr>
          <w:rFonts w:ascii="Calibri" w:hAnsi="Calibri" w:eastAsia="Microsoft YaHei"/>
          <w:sz w:val="20"/>
        </w:rPr>
        <w:t xml:space="preserve">测试说明中引用 </w:t>
      </w:r>
      <w:r>
        <w:rPr>
          <w:rFonts w:ascii="Consolas" w:hAnsi="Consolas" w:eastAsia="Consolas"/>
          <w:color w:val="404040"/>
          <w:sz w:val="19"/>
        </w:rPr>
        <w:t>docs/evaluation.md</w:t>
      </w:r>
      <w:r>
        <w:rPr>
          <w:rFonts w:ascii="Calibri" w:hAnsi="Calibri" w:eastAsia="Microsoft YaHei"/>
          <w:sz w:val="20"/>
        </w:rPr>
        <w:t xml:space="preserve"> 和 </w:t>
      </w:r>
      <w:r>
        <w:rPr>
          <w:rFonts w:ascii="Consolas" w:hAnsi="Consolas" w:eastAsia="Consolas"/>
          <w:color w:val="404040"/>
          <w:sz w:val="19"/>
        </w:rPr>
        <w:t>backend/tests/evals</w:t>
      </w:r>
      <w:r>
        <w:rPr>
          <w:rFonts w:ascii="Calibri" w:hAnsi="Calibri" w:eastAsia="Microsoft YaHei"/>
          <w:sz w:val="20"/>
        </w:rPr>
        <w:t>。</w:t>
      </w:r>
    </w:p>
    <w:p>
      <w:pPr>
        <w:pStyle w:val="ListNumber"/>
        <w:spacing w:after="40"/>
        <w:ind w:left="317"/>
      </w:pPr>
      <w:r>
        <w:rPr>
          <w:rFonts w:ascii="Calibri" w:hAnsi="Calibri" w:eastAsia="Microsoft YaHei"/>
          <w:sz w:val="20"/>
        </w:rPr>
        <w:t xml:space="preserve">演示说明中引用 </w:t>
      </w:r>
      <w:r>
        <w:rPr>
          <w:rFonts w:ascii="Consolas" w:hAnsi="Consolas" w:eastAsia="Consolas"/>
          <w:color w:val="404040"/>
          <w:sz w:val="19"/>
        </w:rPr>
        <w:t>docs/demo-script.md</w:t>
      </w:r>
      <w:r>
        <w:rPr>
          <w:rFonts w:ascii="Calibri" w:hAnsi="Calibri" w:eastAsia="Microsoft YaHei"/>
          <w:sz w:val="20"/>
        </w:rPr>
        <w:t xml:space="preserve"> 和 </w:t>
      </w:r>
      <w:r>
        <w:rPr>
          <w:rFonts w:ascii="Consolas" w:hAnsi="Consolas" w:eastAsia="Consolas"/>
          <w:color w:val="404040"/>
          <w:sz w:val="19"/>
        </w:rPr>
        <w:t>demo_scenario.json</w:t>
      </w:r>
      <w:r>
        <w:rPr>
          <w:rFonts w:ascii="Calibri" w:hAnsi="Calibri" w:eastAsia="Microsoft YaHei"/>
          <w:sz w:val="20"/>
        </w:rPr>
        <w:t>。</w:t>
      </w:r>
    </w:p>
    <w:p>
      <w:pPr>
        <w:pStyle w:val="ListNumber"/>
        <w:spacing w:after="40"/>
        <w:ind w:left="317"/>
      </w:pPr>
      <w:r>
        <w:rPr>
          <w:rFonts w:ascii="Calibri" w:hAnsi="Calibri" w:eastAsia="Microsoft YaHei"/>
          <w:sz w:val="20"/>
        </w:rPr>
        <w:t xml:space="preserve">合规说明中引用 </w:t>
      </w:r>
      <w:r>
        <w:rPr>
          <w:rFonts w:ascii="Consolas" w:hAnsi="Consolas" w:eastAsia="Consolas"/>
          <w:color w:val="404040"/>
          <w:sz w:val="19"/>
        </w:rPr>
        <w:t>OPEN_SOURCE_LICENSES.md</w:t>
      </w:r>
      <w:r>
        <w:rPr>
          <w:rFonts w:ascii="Calibri" w:hAnsi="Calibri" w:eastAsia="Microsoft YaHei"/>
          <w:sz w:val="20"/>
        </w:rPr>
        <w:t xml:space="preserve">、本文档第 6 节和 </w:t>
      </w:r>
      <w:r>
        <w:rPr>
          <w:rFonts w:ascii="Consolas" w:hAnsi="Consolas" w:eastAsia="Consolas"/>
          <w:color w:val="404040"/>
          <w:sz w:val="19"/>
        </w:rPr>
        <w:t>/health</w:t>
      </w:r>
      <w:r>
        <w:rPr>
          <w:rFonts w:ascii="Calibri" w:hAnsi="Calibri" w:eastAsia="Microsoft YaHei"/>
          <w:sz w:val="20"/>
        </w:rPr>
        <w:t xml:space="preserve"> 状态。</w:t>
      </w:r>
    </w:p>
    <w:p>
      <w:pPr>
        <w:pStyle w:val="ListNumber"/>
        <w:spacing w:after="40"/>
        <w:ind w:left="317"/>
      </w:pPr>
      <w:r>
        <w:rPr>
          <w:rFonts w:ascii="Calibri" w:hAnsi="Calibri" w:eastAsia="Microsoft YaHei"/>
          <w:sz w:val="20"/>
        </w:rPr>
        <w:t>所有 PPT/文档对“动画包、视频检索、OCR、生产对象存储”的表述必须带边界说明。</w:t>
      </w:r>
    </w:p>
    <w:sectPr w:rsidR="00FC693F" w:rsidRPr="0006063C" w:rsidSect="00034616">
      <w:footerReference w:type="default" r:id="rId9"/>
      <w:pgSz w:w="11906" w:h="16838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A5A5A"/>
        <w:sz w:val="17"/>
      </w:rPr>
      <w:t>EduAgent 图表与证据索引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9375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193755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  <w:jc w:val="center"/>
    </w:pPr>
    <w:rPr>
      <w:rFonts w:asciiTheme="majorHAnsi" w:eastAsiaTheme="majorEastAsia" w:hAnsiTheme="majorHAnsi" w:cstheme="majorBidi" w:ascii="Calibri" w:hAnsi="Calibri" w:eastAsia="Microsoft YaHei"/>
      <w:b/>
      <w:color w:val="19375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EduAgent 图表与证据索引</dc:title>
  <dc:subject>EduAgent competition documentation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