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1429639051"/>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671040764"/>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0210" cy="320421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2057982212"/>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3154045"/>
                    </a:xfrm>
                    <a:prstGeom prst="rect">
                      <a:avLst/>
                    </a:prstGeom>
                  </pic:spPr>
                </pic:pic>
              </a:graphicData>
            </a:graphic>
          </wp:anchor>
        </w:drawing>
      </w:r>
    </w:p>
    <w:p>
      <w:pPr>
        <w:pStyle w:val="Heading2"/>
        <w:numPr>
          <w:ilvl w:val="0"/>
          <w:numId w:val="0"/>
        </w:numPr>
        <w:ind w:left="0" w:hanging="0"/>
        <w:rPr>
          <w:sz w:val="20"/>
        </w:rPr>
      </w:pPr>
      <w:r>
        <w:rPr>
          <w:sz w:val="22"/>
          <w:szCs w:val="22"/>
        </w:rPr>
        <w:t>2.5</w:t>
      </w:r>
      <w:r>
        <w:rPr/>
        <w:t xml:space="preserve"> Diagrama de Fluxo de Dados (DFD)</w:t>
      </w:r>
    </w:p>
    <w:p>
      <w:pPr>
        <w:pStyle w:val="Normal"/>
        <w:rPr>
          <w:color w:val="FF0000"/>
          <w:sz w:val="20"/>
        </w:rPr>
      </w:pPr>
      <w:r>
        <w:rPr>
          <w:color w:val="FF0000"/>
          <w:sz w:val="20"/>
        </w:rPr>
        <w:t>Cole, neste tópico, a(s) imagem(ns) do Diagrama de Fluxo de Dados (DFD). Posteriormente, remova estas instruções.</w:t>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23"/>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08800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4"/>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90178983000143,</w:t>
      </w:r>
    </w:p>
    <w:p>
      <w:pPr>
        <w:pStyle w:val="Normal"/>
        <w:numPr>
          <w:ilvl w:val="0"/>
          <w:numId w:val="0"/>
        </w:numPr>
        <w:ind w:left="0" w:hanging="0"/>
        <w:rPr>
          <w:sz w:val="20"/>
          <w:szCs w:val="20"/>
        </w:rPr>
      </w:pPr>
      <w:r>
        <w:rPr>
          <w:sz w:val="20"/>
          <w:szCs w:val="20"/>
        </w:rPr>
        <w:t>799169523181,</w:t>
      </w:r>
    </w:p>
    <w:p>
      <w:pPr>
        <w:pStyle w:val="Normal"/>
        <w:numPr>
          <w:ilvl w:val="0"/>
          <w:numId w:val="0"/>
        </w:numPr>
        <w:ind w:left="0" w:hanging="0"/>
        <w:rPr>
          <w:sz w:val="20"/>
          <w:szCs w:val="20"/>
        </w:rPr>
      </w:pPr>
      <w:r>
        <w:rPr>
          <w:sz w:val="20"/>
          <w:szCs w:val="20"/>
        </w:rPr>
        <w:t>99169523181,</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r>
    </w:p>
    <w:p>
      <w:pPr>
        <w:pStyle w:val="Normal"/>
        <w:rPr>
          <w:color w:val="FF0000"/>
          <w:sz w:val="20"/>
        </w:rPr>
      </w:pPr>
      <w:r>
        <w:rPr>
          <w:color w:val="FF0000"/>
          <w:sz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01715" cy="71380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5"/>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r>
      <w:r>
        <w:br w:type="page"/>
      </w:r>
    </w:p>
    <w:p>
      <w:pPr>
        <w:pStyle w:val="Heading3"/>
        <w:numPr>
          <w:ilvl w:val="0"/>
          <w:numId w:val="0"/>
        </w:numPr>
        <w:ind w:left="0" w:hanging="0"/>
        <w:rPr>
          <w:sz w:val="20"/>
        </w:rPr>
      </w:pPr>
      <w:r>
        <w:rPr>
          <w:sz w:val="22"/>
          <w:szCs w:val="22"/>
        </w:rPr>
        <w:t>4.2</w:t>
      </w:r>
      <w:r>
        <w:rPr/>
        <w:t xml:space="preserve"> Dados das Tabelas</w:t>
      </w:r>
    </w:p>
    <w:p>
      <w:pPr>
        <w:pStyle w:val="Normal"/>
        <w:rPr>
          <w:color w:val="FF0000"/>
          <w:sz w:val="2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10935" cy="340931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6"/>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9"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 descr="pythonLogo_official.png"/>
                    <pic:cNvPicPr>
                      <a:picLocks noChangeAspect="1" noChangeArrowheads="1"/>
                    </pic:cNvPicPr>
                  </pic:nvPicPr>
                  <pic:blipFill>
                    <a:blip r:embed="rId27"/>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28"/>
          <w:headerReference w:type="first" r:id="rId29"/>
          <w:footerReference w:type="default" r:id="rId30"/>
          <w:footerReference w:type="first" r:id="rId31"/>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2"/>
          <w:footerReference w:type="default" r:id="rId33"/>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34">
        <w:r>
          <w:rPr>
            <w:rStyle w:val="InternetLink"/>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35"/>
      <w:headerReference w:type="first" r:id="rId36"/>
      <w:footerReference w:type="default" r:id="rId37"/>
      <w:footerReference w:type="first" r:id="rId3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31</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33</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32</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11</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17</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23</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header" Target="header10.xml"/><Relationship Id="rId33" Type="http://schemas.openxmlformats.org/officeDocument/2006/relationships/footer" Target="footer9.xml"/><Relationship Id="rId34" Type="http://schemas.openxmlformats.org/officeDocument/2006/relationships/hyperlink" Target="https://github.com/wendellbrito/ICS/tree/master/doc" TargetMode="Externa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Application>LibreOffice/6.4.6.2$Linux_X86_64 LibreOffice_project/40$Build-2</Application>
  <Pages>34</Pages>
  <Words>2529</Words>
  <Characters>16777</Characters>
  <CharactersWithSpaces>18906</CharactersWithSpaces>
  <Paragraphs>568</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2020-10-01T11:16:37Z</dcterms:modified>
  <cp:revision>53</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