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media/image9.png" ContentType="image/png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8931D"/>
  <w:body>
    <w:p>
      <w:pPr>
        <w:pStyle w:val="Normal"/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>
        <w:rPr/>
        <w:drawing>
          <wp:inline distT="0" distB="0" distL="0" distR="0">
            <wp:extent cx="5975350" cy="211137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35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cs="Arial" w:ascii="Arial" w:hAnsi="Arial"/>
          <w:b/>
          <w:bCs/>
          <w:sz w:val="40"/>
          <w:szCs w:val="40"/>
          <w:u w:val="single"/>
        </w:rPr>
      </w:r>
    </w:p>
    <w:p>
      <w:pPr>
        <w:pStyle w:val="Normal"/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cs="Arial" w:ascii="Arial" w:hAnsi="Arial"/>
          <w:b/>
          <w:bCs/>
          <w:sz w:val="40"/>
          <w:szCs w:val="40"/>
          <w:u w:val="single"/>
        </w:rPr>
        <w:t>EXOTHERMIC WELDING</w:t>
      </w:r>
    </w:p>
    <w:p>
      <w:pPr>
        <w:pStyle w:val="Normal"/>
        <w:jc w:val="center"/>
        <w:rPr>
          <w:rFonts w:ascii="Arial" w:hAnsi="Arial" w:cs="Arial"/>
          <w:b/>
          <w:bCs/>
          <w:sz w:val="40"/>
          <w:szCs w:val="40"/>
          <w:lang w:val="en-GB"/>
        </w:rPr>
      </w:pPr>
      <w:r>
        <w:rPr>
          <w:rFonts w:cs="Arial" w:ascii="Arial" w:hAnsi="Arial"/>
          <w:b/>
          <w:bCs/>
          <w:sz w:val="40"/>
          <w:szCs w:val="40"/>
          <w:lang w:val="en-GB"/>
        </w:rPr>
      </w:r>
    </w:p>
    <w:p>
      <w:pPr>
        <w:pStyle w:val="Normal"/>
        <w:spacing w:lineRule="auto" w:line="312"/>
        <w:rPr>
          <w:rFonts w:ascii="Arial" w:hAnsi="Arial" w:cs="Arial"/>
          <w:b/>
          <w:bCs/>
          <w:sz w:val="24"/>
          <w:szCs w:val="24"/>
          <w:lang w:val="en-AE"/>
        </w:rPr>
      </w:pPr>
      <w:r>
        <w:rPr>
          <w:rFonts w:cs="Arial" w:ascii="Arial" w:hAnsi="Arial"/>
          <w:b/>
          <w:bCs/>
          <w:sz w:val="24"/>
          <w:szCs w:val="24"/>
          <w:lang w:val="en-AE"/>
        </w:rPr>
        <w:t>Exothermic Welding (a.k.a Thermite or Aluminothermic Welding] is a permanent molecular bonding process in which a chemical reaction between copper oxide and aluminum generates superheat with molten metals reaching high  temperatures exceeding 2,600°C (4,000°F).</w:t>
      </w:r>
    </w:p>
    <w:p>
      <w:pPr>
        <w:pStyle w:val="Normal"/>
        <w:spacing w:lineRule="auto" w:line="312"/>
        <w:rPr>
          <w:rFonts w:ascii="Arial" w:hAnsi="Arial" w:cs="Arial"/>
          <w:b/>
          <w:bCs/>
          <w:sz w:val="24"/>
          <w:szCs w:val="24"/>
          <w:lang w:val="en-AE"/>
        </w:rPr>
      </w:pPr>
      <w:r>
        <w:rPr>
          <w:rFonts w:cs="Arial" w:ascii="Arial" w:hAnsi="Arial"/>
          <w:b/>
          <w:bCs/>
          <w:sz w:val="24"/>
          <w:szCs w:val="24"/>
          <w:lang w:val="en-AE"/>
        </w:rPr>
        <w:t>The process creates a homogeneous, pore-free connection with superior electrical conductivity, exceptional mechanical strength, and long-term corrosion resistance. Suitable for direct burial in soil or concrete, exothermic welds provide a maintenance-free, lifetime connection for critical grounding and bonding applications.</w:t>
      </w:r>
    </w:p>
    <w:p>
      <w:pPr>
        <w:pStyle w:val="Normal"/>
        <w:spacing w:lineRule="auto" w:line="312"/>
        <w:rPr>
          <w:rFonts w:ascii="Kanit Light" w:hAnsi="Kanit Light" w:cs="Kanit Light"/>
        </w:rPr>
      </w:pPr>
      <w:r>
        <w:rPr>
          <w:rFonts w:cs="Kanit Light" w:ascii="Kanit Light" w:hAnsi="Kanit Light"/>
        </w:rPr>
      </w:r>
    </w:p>
    <w:p>
      <w:pPr>
        <w:pStyle w:val="Normal"/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cs="Arial" w:ascii="Arial" w:hAnsi="Arial"/>
          <w:b/>
          <w:bCs/>
          <w:sz w:val="40"/>
          <w:szCs w:val="40"/>
          <w:u w:val="single"/>
        </w:rPr>
        <w:t>EXAMPLES OF EXOTHERMIC WELDED CONNECTION TYPES</w:t>
      </w:r>
    </w:p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Kanit Light" w:hAnsi="Kanit Light" w:cs="Kanit Light"/>
        </w:rPr>
      </w:pPr>
      <w:r>
        <w:rPr/>
        <w:drawing>
          <wp:inline distT="0" distB="0" distL="0" distR="0">
            <wp:extent cx="5731510" cy="1052830"/>
            <wp:effectExtent l="0" t="0" r="0" b="0"/>
            <wp:docPr id="2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Kanit Light" w:hAnsi="Kanit Light" w:cs="Kanit Light"/>
          <w:b/>
          <w:bCs/>
          <w:sz w:val="40"/>
          <w:szCs w:val="40"/>
          <w:u w:val="single"/>
        </w:rPr>
      </w:pPr>
      <w:r>
        <w:rPr>
          <w:rFonts w:cs="Kanit Light" w:ascii="Kanit Light" w:hAnsi="Kanit Light"/>
          <w:b/>
          <w:bCs/>
          <w:sz w:val="40"/>
          <w:szCs w:val="40"/>
          <w:u w:val="single"/>
        </w:rPr>
      </w:r>
    </w:p>
    <w:p>
      <w:pPr>
        <w:pStyle w:val="Normal"/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cs="Arial" w:ascii="Arial" w:hAnsi="Arial"/>
          <w:b/>
          <w:bCs/>
          <w:sz w:val="40"/>
          <w:szCs w:val="40"/>
          <w:u w:val="single"/>
        </w:rPr>
        <w:t>GRAPHITE MOULD</w:t>
      </w:r>
    </w:p>
    <w:p>
      <w:pPr>
        <w:pStyle w:val="Normal"/>
        <w:jc w:val="center"/>
        <w:rPr>
          <w:rFonts w:ascii="Kanit Light" w:hAnsi="Kanit Light" w:cs="Kanit Light"/>
          <w:b/>
          <w:bCs/>
        </w:rPr>
      </w:pPr>
      <w:r>
        <w:rPr/>
        <w:drawing>
          <wp:inline distT="0" distB="0" distL="0" distR="0">
            <wp:extent cx="1884680" cy="1884680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68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numPr>
          <w:ilvl w:val="0"/>
          <w:numId w:val="3"/>
        </w:numPr>
        <w:jc w:val="center"/>
        <w:rPr>
          <w:rFonts w:ascii="Arial" w:hAnsi="Arial" w:cs="Arial"/>
          <w:b/>
          <w:bCs/>
          <w:sz w:val="24"/>
          <w:szCs w:val="24"/>
          <w:lang w:val="en-AE"/>
        </w:rPr>
      </w:pPr>
      <w:r>
        <w:rPr>
          <w:rFonts w:cs="Arial" w:ascii="Arial" w:hAnsi="Arial"/>
          <w:b/>
          <w:bCs/>
          <w:sz w:val="24"/>
          <w:szCs w:val="24"/>
          <w:lang w:val="en-AE"/>
        </w:rPr>
        <w:t>Kumwell Graphite Moulds are manufactured from high-quality graphite blocks, precision engineered to withstand extreme exothermic temperatures without degrading rapidly.</w:t>
      </w:r>
    </w:p>
    <w:p>
      <w:pPr>
        <w:pStyle w:val="Normal"/>
        <w:numPr>
          <w:ilvl w:val="0"/>
          <w:numId w:val="3"/>
        </w:numPr>
        <w:jc w:val="center"/>
        <w:rPr>
          <w:rFonts w:ascii="Arial" w:hAnsi="Arial" w:cs="Arial"/>
          <w:b/>
          <w:bCs/>
          <w:sz w:val="24"/>
          <w:szCs w:val="24"/>
          <w:lang w:val="en-AE"/>
        </w:rPr>
      </w:pPr>
      <w:r>
        <w:rPr>
          <w:rFonts w:cs="Arial" w:ascii="Arial" w:hAnsi="Arial"/>
          <w:b/>
          <w:bCs/>
          <w:sz w:val="24"/>
          <w:szCs w:val="24"/>
          <w:lang w:val="en-AE"/>
        </w:rPr>
        <w:t>Lifespan/Durability: Designed for a minimum of 50 welding operations under normal usage and storage conditions.</w:t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  <w:u w:val="single"/>
        </w:rPr>
      </w:pPr>
      <w:r>
        <w:rPr>
          <w:rFonts w:cs="Arial" w:ascii="Arial" w:hAnsi="Arial"/>
          <w:b/>
          <w:bCs/>
          <w:sz w:val="20"/>
          <w:szCs w:val="20"/>
          <w:u w:val="single"/>
        </w:rPr>
      </w:r>
    </w:p>
    <w:p>
      <w:pPr>
        <w:pStyle w:val="Normal"/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cs="Arial" w:ascii="Arial" w:hAnsi="Arial"/>
          <w:b/>
          <w:bCs/>
          <w:sz w:val="40"/>
          <w:szCs w:val="40"/>
          <w:u w:val="single"/>
        </w:rPr>
        <w:t>WELD METAL POWDER</w:t>
      </w:r>
    </w:p>
    <w:p>
      <w:pPr>
        <w:pStyle w:val="Normal"/>
        <w:jc w:val="center"/>
        <w:rPr>
          <w:rFonts w:ascii="Kanit Light" w:hAnsi="Kanit Light" w:cs="Kanit Light"/>
          <w:b/>
          <w:bCs/>
        </w:rPr>
      </w:pPr>
      <w:r>
        <w:rPr/>
        <w:drawing>
          <wp:inline distT="0" distB="0" distL="0" distR="0">
            <wp:extent cx="3328670" cy="243776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Kumwell weld metal powder uses a specially formulated mixture of metallic powders, primarily copper oxide and aluminum. When ignited, these composite chemicals trigger a high-temperature exothermic reaction, forming a permanent, highly conductive copper alloy joint (typically over 93% copper) Tested &amp; inspected in compliance with global standards UL467, IEEE837, IEC62561-1</w:t>
      </w:r>
    </w:p>
    <w:p>
      <w:pPr>
        <w:pStyle w:val="Normal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Nontoxic and heavy metal.</w:t>
      </w:r>
    </w:p>
    <w:p>
      <w:pPr>
        <w:pStyle w:val="Normal"/>
        <w:numPr>
          <w:ilvl w:val="0"/>
          <w:numId w:val="1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Steady burn without slag, porosity pop or fire out.</w:t>
      </w:r>
    </w:p>
    <w:p>
      <w:pPr>
        <w:pStyle w:val="Normal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Consistency of color.</w:t>
      </w:r>
    </w:p>
    <w:p>
      <w:pPr>
        <w:pStyle w:val="Normal"/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cs="Arial" w:ascii="Arial" w:hAnsi="Arial"/>
          <w:b/>
          <w:bCs/>
          <w:sz w:val="40"/>
          <w:szCs w:val="40"/>
          <w:u w:val="single"/>
        </w:rPr>
        <w:t>HANDLE CLAMPS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jc w:val="center"/>
        <w:rPr>
          <w:rFonts w:ascii="Kanit Light" w:hAnsi="Kanit Light" w:cs="Kanit Light"/>
        </w:rPr>
      </w:pPr>
      <w:r>
        <w:rPr/>
        <w:drawing>
          <wp:inline distT="0" distB="0" distL="0" distR="0">
            <wp:extent cx="4102100" cy="3128010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210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Kumwell Handle Clamps &amp; Support Handles are used for handling / clamping the moulds in vertical position and tightening around the conductor / rebar / ground rod / rail tracks / steel structure etc.., so as to avoid leakage during the Exothermic welding process.</w:t>
      </w:r>
    </w:p>
    <w:p>
      <w:pPr>
        <w:pStyle w:val="Normal"/>
        <w:rPr>
          <w:rFonts w:ascii="Kanit Light" w:hAnsi="Kanit Light" w:cs="Kanit Light"/>
        </w:rPr>
      </w:pPr>
      <w:r>
        <w:rPr>
          <w:rFonts w:cs="Kanit Light" w:ascii="Kanit Light" w:hAnsi="Kanit Light"/>
        </w:rPr>
      </w:r>
    </w:p>
    <w:p>
      <w:pPr>
        <w:pStyle w:val="Normal"/>
        <w:jc w:val="center"/>
        <w:rPr>
          <w:rFonts w:ascii="Kanit Light" w:hAnsi="Kanit Light" w:cs="Kanit Light"/>
        </w:rPr>
      </w:pPr>
      <w:r>
        <w:rPr/>
        <w:drawing>
          <wp:inline distT="0" distB="0" distL="0" distR="0">
            <wp:extent cx="3742055" cy="226187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055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Arial" w:hAnsi="Arial" w:cs="Arial"/>
          <w:b/>
          <w:bCs/>
          <w:sz w:val="40"/>
          <w:szCs w:val="40"/>
          <w:u w:val="single"/>
        </w:rPr>
      </w:pPr>
      <w:r>
        <w:rPr>
          <w:rFonts w:cs="Arial" w:ascii="Arial" w:hAnsi="Arial"/>
          <w:b/>
          <w:bCs/>
          <w:sz w:val="40"/>
          <w:szCs w:val="40"/>
          <w:u w:val="single"/>
        </w:rPr>
        <w:t>TOOLKIT</w:t>
      </w:r>
    </w:p>
    <w:p>
      <w:pPr>
        <w:pStyle w:val="Normal"/>
        <w:jc w:val="center"/>
        <w:rPr>
          <w:rFonts w:ascii="Kanit Light" w:hAnsi="Kanit Light" w:cs="Kanit Light"/>
          <w:b/>
          <w:bCs/>
        </w:rPr>
      </w:pPr>
      <w:r>
        <w:rPr/>
        <w:drawing>
          <wp:inline distT="0" distB="0" distL="0" distR="0">
            <wp:extent cx="5327015" cy="278955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01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Kumwell Standard Tools</w:t>
      </w:r>
      <w:r>
        <w:rPr>
          <w:rFonts w:cs="Arial" w:ascii="Arial" w:hAnsi="Arial"/>
          <w:sz w:val="24"/>
          <w:szCs w:val="24"/>
        </w:rPr>
        <w:t> are specially designed to support the </w:t>
      </w:r>
      <w:r>
        <w:rPr>
          <w:rFonts w:cs="Arial" w:ascii="Arial" w:hAnsi="Arial"/>
          <w:b/>
          <w:bCs/>
          <w:sz w:val="24"/>
          <w:szCs w:val="24"/>
        </w:rPr>
        <w:t>Exothermic welding process</w:t>
      </w:r>
      <w:r>
        <w:rPr>
          <w:rFonts w:cs="Arial" w:ascii="Arial" w:hAnsi="Arial"/>
          <w:sz w:val="24"/>
          <w:szCs w:val="24"/>
        </w:rPr>
        <w:t>, ensuring efficiency, safety, and reliable performance.</w:t>
      </w:r>
    </w:p>
    <w:p>
      <w:pPr>
        <w:pStyle w:val="Normal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Flint Ignitor</w:t>
      </w:r>
      <w:r>
        <w:rPr>
          <w:rFonts w:cs="Arial" w:ascii="Arial" w:hAnsi="Arial"/>
          <w:sz w:val="24"/>
          <w:szCs w:val="24"/>
        </w:rPr>
        <w:t>: for starting the reaction</w:t>
      </w:r>
    </w:p>
    <w:p>
      <w:pPr>
        <w:pStyle w:val="Normal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Cable Clean Brush</w:t>
      </w:r>
      <w:r>
        <w:rPr>
          <w:rFonts w:cs="Arial" w:ascii="Arial" w:hAnsi="Arial"/>
          <w:sz w:val="24"/>
          <w:szCs w:val="24"/>
        </w:rPr>
        <w:t>: for cleaning round conductors and cables</w:t>
      </w:r>
    </w:p>
    <w:p>
      <w:pPr>
        <w:pStyle w:val="Normal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Mould Brush</w:t>
      </w:r>
      <w:r>
        <w:rPr>
          <w:rFonts w:cs="Arial" w:ascii="Arial" w:hAnsi="Arial"/>
          <w:sz w:val="24"/>
          <w:szCs w:val="24"/>
        </w:rPr>
        <w:t>: for cleaning graphite moulds</w:t>
      </w:r>
    </w:p>
    <w:p>
      <w:pPr>
        <w:pStyle w:val="Normal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Busbar Brush</w:t>
      </w:r>
      <w:r>
        <w:rPr>
          <w:rFonts w:cs="Arial" w:ascii="Arial" w:hAnsi="Arial"/>
          <w:sz w:val="24"/>
          <w:szCs w:val="24"/>
        </w:rPr>
        <w:t>: for cleaning flat conductors and busbars</w:t>
      </w:r>
    </w:p>
    <w:p>
      <w:pPr>
        <w:pStyle w:val="Normal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Scraper</w:t>
      </w:r>
      <w:r>
        <w:rPr>
          <w:rFonts w:cs="Arial" w:ascii="Arial" w:hAnsi="Arial"/>
          <w:sz w:val="24"/>
          <w:szCs w:val="24"/>
        </w:rPr>
        <w:t>: for removes slag from the mould after welding</w:t>
      </w:r>
    </w:p>
    <w:p>
      <w:pPr>
        <w:pStyle w:val="Normal"/>
        <w:rPr>
          <w:rFonts w:ascii="Kanit Light" w:hAnsi="Kanit Light" w:cs="Kanit Light"/>
        </w:rPr>
      </w:pPr>
      <w:r>
        <w:rPr>
          <w:rFonts w:cs="Arial" w:ascii="Arial" w:hAnsi="Arial"/>
          <w:sz w:val="24"/>
          <w:szCs w:val="24"/>
        </w:rPr>
        <w:t>With Kumwell Standard Tools, every weld is performed with </w:t>
      </w:r>
      <w:r>
        <w:rPr>
          <w:rFonts w:cs="Arial" w:ascii="Arial" w:hAnsi="Arial"/>
          <w:b/>
          <w:bCs/>
          <w:sz w:val="24"/>
          <w:szCs w:val="24"/>
        </w:rPr>
        <w:t>greater precision, cleanliness, and long-term reliability</w:t>
      </w:r>
    </w:p>
    <w:p>
      <w:pPr>
        <w:pStyle w:val="Normal"/>
        <w:rPr>
          <w:rFonts w:ascii="Kanit Light" w:hAnsi="Kanit Light" w:cs="Kanit Light"/>
        </w:rPr>
      </w:pPr>
      <w:r>
        <w:rPr>
          <w:rFonts w:cs="Kanit Light" w:ascii="Kanit Light" w:hAnsi="Kanit Light"/>
        </w:rPr>
      </w:r>
    </w:p>
    <w:p>
      <w:pPr>
        <w:pStyle w:val="Normal"/>
        <w:spacing w:before="0" w:after="160"/>
        <w:jc w:val="center"/>
        <w:rPr>
          <w:rFonts w:ascii="Kanit Light" w:hAnsi="Kanit Light" w:cs="Kanit Light"/>
        </w:rPr>
      </w:pPr>
      <w:r>
        <w:rPr/>
        <w:drawing>
          <wp:inline distT="0" distB="0" distL="0" distR="0">
            <wp:extent cx="5464810" cy="2830830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81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10"/>
      <w:type w:val="nextPage"/>
      <w:pgSz w:w="11906" w:h="16838"/>
      <w:pgMar w:left="1440" w:right="1440" w:gutter="0" w:header="1440" w:top="2195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Kanit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  <w:drawing>
        <wp:anchor behindDoc="0" distT="0" distB="0" distL="0" distR="0" simplePos="0" locked="0" layoutInCell="0" allowOverlap="1" relativeHeight="11">
          <wp:simplePos x="0" y="0"/>
          <wp:positionH relativeFrom="column">
            <wp:posOffset>4161155</wp:posOffset>
          </wp:positionH>
          <wp:positionV relativeFrom="paragraph">
            <wp:posOffset>-409575</wp:posOffset>
          </wp:positionV>
          <wp:extent cx="1769745" cy="363220"/>
          <wp:effectExtent l="0" t="0" r="0" b="0"/>
          <wp:wrapSquare wrapText="largest"/>
          <wp:docPr id="9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69745" cy="363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Cordia New" w:asciiTheme="minorHAnsi" w:cstheme="minorBidi" w:eastAsiaTheme="minorEastAsia" w:hAnsiTheme="minorHAnsi"/>
        <w:sz w:val="22"/>
        <w:szCs w:val="22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108c0"/>
    <w:pPr>
      <w:widowControl/>
      <w:bidi w:val="0"/>
      <w:spacing w:lineRule="auto" w:line="252" w:before="0" w:after="160"/>
      <w:jc w:val="both"/>
    </w:pPr>
    <w:rPr>
      <w:rFonts w:ascii="Aptos" w:hAnsi="Aptos" w:eastAsia="" w:cs="Cordia New" w:asciiTheme="minorHAnsi" w:cstheme="minorBidi" w:eastAsiaTheme="minorEastAsia" w:hAnsiTheme="minorHAnsi"/>
      <w:color w:val="auto"/>
      <w:kern w:val="0"/>
      <w:sz w:val="22"/>
      <w:szCs w:val="22"/>
      <w:lang w:val="en-US" w:eastAsia="en-US"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08c0"/>
    <w:pPr>
      <w:keepNext w:val="true"/>
      <w:keepLines/>
      <w:spacing w:before="320" w:after="40"/>
      <w:outlineLvl w:val="0"/>
    </w:pPr>
    <w:rPr>
      <w:rFonts w:ascii="Aptos Display" w:hAnsi="Aptos Display" w:eastAsia="" w:cs="Angsana New" w:asciiTheme="majorHAnsi" w:cstheme="majorBidi" w:eastAsiaTheme="majorEastAsia" w:hAnsiTheme="majorHAns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8c0"/>
    <w:pPr>
      <w:keepNext w:val="true"/>
      <w:keepLines/>
      <w:spacing w:before="120" w:after="0"/>
      <w:outlineLvl w:val="1"/>
    </w:pPr>
    <w:rPr>
      <w:rFonts w:ascii="Aptos Display" w:hAnsi="Aptos Display" w:eastAsia="" w:cs="Angsana New" w:asciiTheme="majorHAnsi" w:cstheme="majorBidi" w:eastAsiaTheme="majorEastAsia" w:hAnsiTheme="majorHAns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08c0"/>
    <w:pPr>
      <w:keepNext w:val="true"/>
      <w:keepLines/>
      <w:spacing w:before="120" w:after="0"/>
      <w:outlineLvl w:val="2"/>
    </w:pPr>
    <w:rPr>
      <w:rFonts w:ascii="Aptos Display" w:hAnsi="Aptos Display" w:eastAsia="" w:cs="Angsana New" w:asciiTheme="majorHAnsi" w:cstheme="majorBidi" w:eastAsiaTheme="majorEastAsia" w:hAnsiTheme="majorHAns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8c0"/>
    <w:pPr>
      <w:keepNext w:val="true"/>
      <w:keepLines/>
      <w:spacing w:before="120" w:after="0"/>
      <w:outlineLvl w:val="3"/>
    </w:pPr>
    <w:rPr>
      <w:rFonts w:ascii="Aptos Display" w:hAnsi="Aptos Display" w:eastAsia="" w:cs="Angsana New" w:asciiTheme="majorHAnsi" w:cstheme="majorBidi" w:eastAsiaTheme="majorEastAsia" w:hAnsiTheme="majorHAns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8c0"/>
    <w:pPr>
      <w:keepNext w:val="true"/>
      <w:keepLines/>
      <w:spacing w:before="120" w:after="0"/>
      <w:outlineLvl w:val="4"/>
    </w:pPr>
    <w:rPr>
      <w:rFonts w:ascii="Aptos Display" w:hAnsi="Aptos Display" w:eastAsia="" w:cs="Angsana New" w:asciiTheme="majorHAnsi" w:cstheme="majorBidi" w:eastAsiaTheme="majorEastAsia" w:hAnsiTheme="majorHAns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8c0"/>
    <w:pPr>
      <w:keepNext w:val="true"/>
      <w:keepLines/>
      <w:spacing w:before="120" w:after="0"/>
      <w:outlineLvl w:val="5"/>
    </w:pPr>
    <w:rPr>
      <w:rFonts w:ascii="Aptos Display" w:hAnsi="Aptos Display" w:eastAsia="" w:cs="Angsana New" w:asciiTheme="majorHAnsi" w:cstheme="majorBidi" w:eastAsiaTheme="majorEastAsia" w:hAnsiTheme="majorHAns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8c0"/>
    <w:pPr>
      <w:keepNext w:val="true"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8c0"/>
    <w:pPr>
      <w:keepNext w:val="true"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8c0"/>
    <w:pPr>
      <w:keepNext w:val="true"/>
      <w:keepLines/>
      <w:spacing w:before="120" w:after="0"/>
      <w:outlineLvl w:val="8"/>
    </w:pPr>
    <w:rPr>
      <w:i/>
      <w:iCs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108c0"/>
    <w:rPr>
      <w:rFonts w:ascii="Aptos Display" w:hAnsi="Aptos Display" w:eastAsia="" w:cs="Angsana New" w:asciiTheme="majorHAnsi" w:cstheme="majorBidi" w:eastAsiaTheme="majorEastAsia" w:hAnsiTheme="majorHAnsi"/>
      <w:b/>
      <w:bCs/>
      <w:caps/>
      <w:spacing w:val="4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108c0"/>
    <w:rPr>
      <w:rFonts w:ascii="Aptos Display" w:hAnsi="Aptos Display" w:eastAsia="" w:cs="Angsana New" w:asciiTheme="majorHAnsi" w:cstheme="majorBidi" w:eastAsiaTheme="majorEastAsia" w:hAnsiTheme="majorHAnsi"/>
      <w:b/>
      <w:b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1108c0"/>
    <w:rPr>
      <w:rFonts w:ascii="Aptos Display" w:hAnsi="Aptos Display" w:eastAsia="" w:cs="Angsana New" w:asciiTheme="majorHAnsi" w:cstheme="majorBidi" w:eastAsiaTheme="majorEastAsia" w:hAnsiTheme="majorHAnsi"/>
      <w:spacing w:val="4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108c0"/>
    <w:rPr>
      <w:rFonts w:ascii="Aptos Display" w:hAnsi="Aptos Display" w:eastAsia="" w:cs="Angsana New" w:asciiTheme="majorHAnsi" w:cstheme="majorBidi" w:eastAsiaTheme="majorEastAsia" w:hAnsiTheme="majorHAnsi"/>
      <w:i/>
      <w:iCs/>
      <w:sz w:val="24"/>
      <w:szCs w:val="24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108c0"/>
    <w:rPr>
      <w:rFonts w:ascii="Aptos Display" w:hAnsi="Aptos Display" w:eastAsia="" w:cs="Angsana New" w:asciiTheme="majorHAnsi" w:cstheme="majorBidi" w:eastAsiaTheme="majorEastAsia" w:hAnsiTheme="majorHAnsi"/>
      <w:b/>
      <w:bCs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108c0"/>
    <w:rPr>
      <w:rFonts w:ascii="Aptos Display" w:hAnsi="Aptos Display" w:eastAsia="" w:cs="Angsana New" w:asciiTheme="majorHAnsi" w:cstheme="majorBidi" w:eastAsiaTheme="majorEastAsia" w:hAnsiTheme="majorHAnsi"/>
      <w:b/>
      <w:bCs/>
      <w:i/>
      <w:iCs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108c0"/>
    <w:rPr>
      <w:i/>
      <w:iCs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108c0"/>
    <w:rPr>
      <w:b/>
      <w:bCs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108c0"/>
    <w:rPr>
      <w:i/>
      <w:iCs/>
    </w:rPr>
  </w:style>
  <w:style w:type="character" w:styleId="TitleChar" w:customStyle="1">
    <w:name w:val="Title Char"/>
    <w:basedOn w:val="DefaultParagraphFont"/>
    <w:link w:val="Title"/>
    <w:uiPriority w:val="10"/>
    <w:qFormat/>
    <w:rsid w:val="001108c0"/>
    <w:rPr>
      <w:rFonts w:ascii="Aptos Display" w:hAnsi="Aptos Display" w:eastAsia="" w:cs="Angsana New" w:asciiTheme="majorHAnsi" w:cstheme="majorBidi" w:eastAsiaTheme="majorEastAsia" w:hAnsiTheme="majorHAnsi"/>
      <w:b/>
      <w:bCs/>
      <w:spacing w:val="-7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108c0"/>
    <w:rPr>
      <w:rFonts w:ascii="Aptos Display" w:hAnsi="Aptos Display" w:eastAsia="" w:cs="Angsana New" w:asciiTheme="majorHAnsi" w:cstheme="majorBidi" w:eastAsiaTheme="majorEastAsia" w:hAnsiTheme="majorHAnsi"/>
      <w:sz w:val="24"/>
      <w:szCs w:val="24"/>
    </w:rPr>
  </w:style>
  <w:style w:type="character" w:styleId="QuoteChar" w:customStyle="1">
    <w:name w:val="Quote Char"/>
    <w:basedOn w:val="DefaultParagraphFont"/>
    <w:link w:val="Quote"/>
    <w:uiPriority w:val="29"/>
    <w:qFormat/>
    <w:rsid w:val="001108c0"/>
    <w:rPr>
      <w:rFonts w:ascii="Aptos Display" w:hAnsi="Aptos Display" w:eastAsia="" w:cs="Angsana New" w:asciiTheme="majorHAnsi" w:cstheme="majorBidi" w:eastAsiaTheme="majorEastAsia" w:hAnsiTheme="majorHAnsi"/>
      <w:i/>
      <w:iCs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1108c0"/>
    <w:rPr>
      <w:b/>
      <w:bCs/>
      <w:i/>
      <w:iCs/>
      <w:color w:val="auto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108c0"/>
    <w:rPr>
      <w:rFonts w:ascii="Aptos Display" w:hAnsi="Aptos Display" w:eastAsia="" w:cs="Angsana New" w:asciiTheme="majorHAnsi" w:cstheme="majorBidi" w:eastAsiaTheme="majorEastAsia" w:hAnsiTheme="majorHAns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1108c0"/>
    <w:rPr>
      <w:b/>
      <w:bCs/>
      <w:smallCaps/>
      <w:color w:val="auto"/>
      <w:u w:val="single"/>
    </w:rPr>
  </w:style>
  <w:style w:type="character" w:styleId="Strong">
    <w:name w:val="Strong"/>
    <w:basedOn w:val="DefaultParagraphFont"/>
    <w:uiPriority w:val="22"/>
    <w:qFormat/>
    <w:rsid w:val="001108c0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108c0"/>
    <w:rPr>
      <w:i/>
      <w:iCs/>
      <w:color w:val="auto"/>
    </w:rPr>
  </w:style>
  <w:style w:type="character" w:styleId="SubtleEmphasis">
    <w:name w:val="Subtle Emphasis"/>
    <w:basedOn w:val="DefaultParagraphFont"/>
    <w:uiPriority w:val="19"/>
    <w:qFormat/>
    <w:rsid w:val="001108c0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108c0"/>
    <w:rPr>
      <w:smallCaps/>
      <w:color w:val="auto"/>
      <w:u w:val="single" w:color="7F7F7F" w:themeColor="dark1" w:themeTint="80"/>
    </w:rPr>
  </w:style>
  <w:style w:type="character" w:styleId="BookTitle">
    <w:name w:val="Book Title"/>
    <w:basedOn w:val="DefaultParagraphFont"/>
    <w:uiPriority w:val="33"/>
    <w:qFormat/>
    <w:rsid w:val="001108c0"/>
    <w:rPr>
      <w:b/>
      <w:bCs/>
      <w:smallCaps/>
      <w:color w:val="auto"/>
    </w:rPr>
  </w:style>
  <w:style w:type="character" w:styleId="Hyperlink">
    <w:name w:val="Hyperlink"/>
    <w:basedOn w:val="DefaultParagraphFont"/>
    <w:uiPriority w:val="99"/>
    <w:unhideWhenUsed/>
    <w:rsid w:val="00070a29"/>
    <w:rPr>
      <w:color w:themeColor="hyperlink" w:val="2998E3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70a29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108c0"/>
    <w:pPr/>
    <w:rPr>
      <w:b/>
      <w:b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1108c0"/>
    <w:pPr>
      <w:spacing w:lineRule="auto" w:line="240" w:before="0" w:after="0"/>
      <w:contextualSpacing/>
      <w:jc w:val="center"/>
    </w:pPr>
    <w:rPr>
      <w:rFonts w:ascii="Aptos Display" w:hAnsi="Aptos Display" w:eastAsia="" w:cs="Angsana New" w:asciiTheme="majorHAnsi" w:cstheme="majorBidi" w:eastAsiaTheme="majorEastAsia" w:hAnsiTheme="majorHAns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8c0"/>
    <w:pPr>
      <w:spacing w:before="0" w:after="240"/>
      <w:jc w:val="center"/>
    </w:pPr>
    <w:rPr>
      <w:rFonts w:ascii="Aptos Display" w:hAnsi="Aptos Display" w:eastAsia="" w:cs="Angsana New" w:asciiTheme="majorHAnsi" w:cstheme="majorBidi" w:eastAsiaTheme="majorEastAsia" w:hAnsiTheme="majorHAns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08c0"/>
    <w:pPr>
      <w:spacing w:lineRule="auto" w:line="264" w:before="200" w:after="160"/>
      <w:ind w:left="864" w:right="864"/>
      <w:jc w:val="center"/>
    </w:pPr>
    <w:rPr>
      <w:rFonts w:ascii="Aptos Display" w:hAnsi="Aptos Display" w:eastAsia="" w:cs="Angsana New" w:asciiTheme="majorHAnsi" w:cstheme="majorBidi" w:eastAsiaTheme="majorEastAsia" w:hAnsiTheme="majorHAns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9318c4"/>
    <w:pPr>
      <w:spacing w:before="0" w:after="160"/>
      <w:ind w:left="720"/>
      <w:contextualSpacing/>
    </w:pPr>
    <w:rPr>
      <w:rFonts w:cs="Cordia New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8c0"/>
    <w:pPr>
      <w:spacing w:beforeAutospacing="1" w:after="240"/>
      <w:ind w:left="936" w:right="936"/>
      <w:jc w:val="center"/>
    </w:pPr>
    <w:rPr>
      <w:rFonts w:ascii="Aptos Display" w:hAnsi="Aptos Display" w:eastAsia="" w:cs="Angsana New" w:asciiTheme="majorHAnsi" w:cstheme="majorBidi" w:eastAsiaTheme="majorEastAsia" w:hAnsiTheme="majorHAnsi"/>
      <w:sz w:val="26"/>
      <w:szCs w:val="26"/>
    </w:rPr>
  </w:style>
  <w:style w:type="paragraph" w:styleId="NoSpacing">
    <w:name w:val="No Spacing"/>
    <w:uiPriority w:val="1"/>
    <w:qFormat/>
    <w:rsid w:val="001108c0"/>
    <w:pPr>
      <w:widowControl/>
      <w:bidi w:val="0"/>
      <w:spacing w:lineRule="auto" w:line="240" w:before="0" w:after="0"/>
      <w:jc w:val="both"/>
    </w:pPr>
    <w:rPr>
      <w:rFonts w:ascii="Aptos" w:hAnsi="Aptos" w:eastAsia="" w:cs="Cordia New" w:asciiTheme="minorHAnsi" w:cstheme="minorBidi" w:eastAsiaTheme="minorEastAsia" w:hAnsiTheme="minorHAnsi"/>
      <w:color w:val="auto"/>
      <w:kern w:val="0"/>
      <w:sz w:val="22"/>
      <w:szCs w:val="22"/>
      <w:lang w:val="en-US" w:eastAsia="en-US" w:bidi="th-TH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08c0"/>
    <w:pPr>
      <w:outlineLvl w:val="9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eader" Target="header1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Yellow">
      <a:dk1>
        <a:srgbClr val="000000"/>
      </a:dk1>
      <a:lt1>
        <a:srgbClr val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Application>LibreOffice/24.2.7.2$Linux_X86_64 LibreOffice_project/420$Build-2</Application>
  <AppVersion>15.0000</AppVersion>
  <Pages>5</Pages>
  <Words>314</Words>
  <Characters>1947</Characters>
  <CharactersWithSpaces>2230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2026-05-27T01:40:00Z</dcterms:created>
  <dc:creator>Maytas Nateenantasawasd</dc:creator>
  <dc:description/>
  <dc:language>en-US</dc:language>
  <cp:lastModifiedBy/>
  <dcterms:modified xsi:type="dcterms:W3CDTF">2026-08-03T11:04:02Z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