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1.xml.rels" ContentType="application/vnd.openxmlformats-package.relationships+xml"/>
  <Override PartName="/word/_rels/document.xml.rels" ContentType="application/vnd.openxmlformats-package.relationships+xml"/>
  <Override PartName="/word/media/image1.jpeg" ContentType="image/jpeg"/>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153E64"/>
  <w:body>
    <w:p>
      <w:pPr>
        <w:pStyle w:val="Normal"/>
        <w:jc w:val="center"/>
        <w:rPr>
          <w:rFonts w:ascii="Arial" w:hAnsi="Arial" w:cs="Arial"/>
          <w:b/>
          <w:bCs/>
          <w:sz w:val="44"/>
          <w:szCs w:val="44"/>
          <w:u w:val="single"/>
        </w:rPr>
      </w:pPr>
      <w:r>
        <w:rPr>
          <w:rFonts w:cs="Arial" w:ascii="Arial" w:hAnsi="Arial"/>
          <w:b/>
          <w:bCs/>
          <w:sz w:val="44"/>
          <w:szCs w:val="44"/>
          <w:u w:val="single"/>
        </w:rPr>
        <w:t>LIGHTNING PROTECTION SYSTEM</w:t>
      </w:r>
    </w:p>
    <w:p>
      <w:pPr>
        <w:pStyle w:val="Normal"/>
        <w:jc w:val="center"/>
        <w:rPr>
          <w:rFonts w:ascii="Arial" w:hAnsi="Arial" w:cs="Arial"/>
          <w:b/>
          <w:bCs/>
          <w:sz w:val="44"/>
          <w:szCs w:val="44"/>
          <w:u w:val="single"/>
        </w:rPr>
      </w:pPr>
      <w:r>
        <w:rPr>
          <w:rFonts w:cs="Arial" w:ascii="Arial" w:hAnsi="Arial"/>
          <w:b/>
          <w:bCs/>
          <w:sz w:val="44"/>
          <w:szCs w:val="44"/>
          <w:u w:val="single"/>
        </w:rPr>
      </w:r>
    </w:p>
    <w:p>
      <w:pPr>
        <w:pStyle w:val="Normal"/>
        <w:rPr>
          <w:rFonts w:ascii="Arial" w:hAnsi="Arial" w:cs="Arial"/>
          <w:b/>
          <w:bCs/>
          <w:szCs w:val="24"/>
        </w:rPr>
      </w:pPr>
      <w:r>
        <w:rPr/>
        <w:drawing>
          <wp:inline distT="0" distB="0" distL="0" distR="0">
            <wp:extent cx="5708650" cy="244475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5708650" cy="2444750"/>
                    </a:xfrm>
                    <a:prstGeom prst="rect">
                      <a:avLst/>
                    </a:prstGeom>
                  </pic:spPr>
                </pic:pic>
              </a:graphicData>
            </a:graphic>
          </wp:inline>
        </w:drawing>
      </w:r>
      <w:r>
        <w:rPr>
          <w:rFonts w:eastAsia="Times New Roman" w:cs="Kanit Light" w:ascii="Kanit Light" w:hAnsi="Kanit Light"/>
          <w:color w:val="AB1419"/>
          <w:kern w:val="0"/>
          <w:sz w:val="54"/>
          <w:szCs w:val="54"/>
          <w14:ligatures w14:val="none"/>
        </w:rPr>
        <w:t xml:space="preserve"> </w:t>
      </w:r>
    </w:p>
    <w:p>
      <w:pPr>
        <w:pStyle w:val="Normal"/>
        <w:jc w:val="both"/>
        <w:rPr>
          <w:rFonts w:ascii="Arial" w:hAnsi="Arial" w:cs="Arial"/>
          <w:b/>
          <w:bCs/>
          <w:szCs w:val="24"/>
          <w:lang w:val="en-AE"/>
        </w:rPr>
      </w:pPr>
      <w:r>
        <w:rPr>
          <w:rFonts w:cs="Arial" w:ascii="Arial" w:hAnsi="Arial"/>
          <w:b/>
          <w:bCs/>
          <w:szCs w:val="24"/>
          <w:lang w:val="en-AE"/>
        </w:rPr>
      </w:r>
    </w:p>
    <w:p>
      <w:pPr>
        <w:pStyle w:val="Normal"/>
        <w:jc w:val="both"/>
        <w:rPr>
          <w:rFonts w:ascii="Arial" w:hAnsi="Arial" w:cs="Arial"/>
          <w:szCs w:val="24"/>
          <w:lang w:val="en-AE"/>
        </w:rPr>
      </w:pPr>
      <w:r>
        <w:rPr>
          <w:rFonts w:cs="Arial" w:ascii="Arial" w:hAnsi="Arial"/>
          <w:b/>
          <w:bCs/>
          <w:szCs w:val="24"/>
          <w:lang w:val="en-AE"/>
        </w:rPr>
        <w:t>Air Terminals</w:t>
      </w:r>
      <w:r>
        <w:rPr>
          <w:rFonts w:cs="Arial" w:ascii="Arial" w:hAnsi="Arial"/>
          <w:szCs w:val="24"/>
          <w:lang w:val="en-AE"/>
        </w:rPr>
        <w:t xml:space="preserve"> are the primary interception components of a lightning protection system and play a critical role in safely capturing and directing lightning currents to ground. Proper design and product selection in accordance with international standards are essential to ensure effective system performance and protection.</w:t>
      </w:r>
    </w:p>
    <w:p>
      <w:pPr>
        <w:pStyle w:val="Normal"/>
        <w:jc w:val="both"/>
        <w:rPr>
          <w:rFonts w:ascii="Arial" w:hAnsi="Arial" w:cs="Arial"/>
          <w:szCs w:val="24"/>
          <w:lang w:val="en-AE"/>
        </w:rPr>
      </w:pPr>
      <w:r>
        <w:rPr>
          <w:rFonts w:cs="Arial" w:ascii="Arial" w:hAnsi="Arial"/>
          <w:szCs w:val="24"/>
          <w:lang w:val="en-AE"/>
        </w:rPr>
      </w:r>
    </w:p>
    <w:p>
      <w:pPr>
        <w:pStyle w:val="Normal"/>
        <w:jc w:val="both"/>
        <w:rPr>
          <w:rFonts w:ascii="Arial" w:hAnsi="Arial" w:cs="Arial"/>
          <w:szCs w:val="24"/>
        </w:rPr>
      </w:pPr>
      <w:r>
        <w:rPr>
          <w:rFonts w:cs="Arial" w:ascii="Arial" w:hAnsi="Arial"/>
          <w:b/>
          <w:bCs/>
          <w:szCs w:val="24"/>
          <w:lang w:val="en-AE"/>
        </w:rPr>
        <w:t>KUMWELL’s range of Lightning Air Terminals</w:t>
      </w:r>
      <w:r>
        <w:rPr>
          <w:rFonts w:cs="Arial" w:ascii="Arial" w:hAnsi="Arial"/>
          <w:szCs w:val="24"/>
          <w:lang w:val="en-AE"/>
        </w:rPr>
        <w:t xml:space="preserve"> [</w:t>
      </w:r>
      <w:r>
        <w:rPr>
          <w:rFonts w:cs="Arial" w:ascii="Arial" w:hAnsi="Arial"/>
          <w:szCs w:val="24"/>
        </w:rPr>
        <w:t xml:space="preserve">blunt-end rods, multi-point air terminals, lightning conductors, Franklin rod systems] </w:t>
      </w:r>
      <w:r>
        <w:rPr>
          <w:rFonts w:cs="Arial" w:ascii="Arial" w:hAnsi="Arial"/>
          <w:szCs w:val="24"/>
          <w:lang w:val="en-AE"/>
        </w:rPr>
        <w:t xml:space="preserve">are manufactured and tested in compliance with </w:t>
      </w:r>
      <w:r>
        <w:rPr>
          <w:rFonts w:cs="Arial" w:ascii="Arial" w:hAnsi="Arial"/>
          <w:b/>
          <w:bCs/>
          <w:szCs w:val="24"/>
          <w:lang w:val="en-AE"/>
        </w:rPr>
        <w:t>IEC 62561-2</w:t>
      </w:r>
      <w:r>
        <w:rPr>
          <w:rFonts w:cs="Arial" w:ascii="Arial" w:hAnsi="Arial"/>
          <w:szCs w:val="24"/>
          <w:lang w:val="en-AE"/>
        </w:rPr>
        <w:t xml:space="preserve">, </w:t>
      </w:r>
      <w:r>
        <w:rPr>
          <w:rFonts w:cs="Arial" w:ascii="Arial" w:hAnsi="Arial"/>
          <w:szCs w:val="24"/>
        </w:rPr>
        <w:t>and form part of a conventional passive lightning protection system compliant with the rolling sphere, mesh (Faraday cage), and protective angle methods described in IEC 62305.</w:t>
      </w:r>
    </w:p>
    <w:p>
      <w:pPr>
        <w:pStyle w:val="Normal"/>
        <w:jc w:val="both"/>
        <w:rPr>
          <w:rFonts w:ascii="Arial" w:hAnsi="Arial" w:cs="Arial"/>
          <w:szCs w:val="24"/>
          <w:lang w:val="en-AE"/>
        </w:rPr>
      </w:pPr>
      <w:r>
        <w:rPr>
          <w:rFonts w:cs="Arial" w:ascii="Arial" w:hAnsi="Arial"/>
          <w:szCs w:val="24"/>
          <w:lang w:val="en-AE"/>
        </w:rPr>
      </w:r>
    </w:p>
    <w:p>
      <w:pPr>
        <w:pStyle w:val="Normal"/>
        <w:rPr>
          <w:rFonts w:ascii="Kanit Light" w:hAnsi="Kanit Light" w:cs="Kanit Light"/>
          <w:lang w:val="en-GB"/>
        </w:rPr>
      </w:pPr>
      <w:r>
        <w:rPr/>
        <w:drawing>
          <wp:inline distT="0" distB="0" distL="0" distR="0">
            <wp:extent cx="2797810" cy="2108200"/>
            <wp:effectExtent l="0" t="0" r="0" b="0"/>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797810" cy="2108200"/>
                    </a:xfrm>
                    <a:prstGeom prst="rect">
                      <a:avLst/>
                    </a:prstGeom>
                  </pic:spPr>
                </pic:pic>
              </a:graphicData>
            </a:graphic>
          </wp:inline>
        </w:drawing>
      </w:r>
      <w:r>
        <w:rPr/>
        <w:t xml:space="preserve">    </w:t>
      </w:r>
      <w:r>
        <w:rPr/>
        <w:drawing>
          <wp:inline distT="0" distB="0" distL="0" distR="0">
            <wp:extent cx="2775585" cy="2082165"/>
            <wp:effectExtent l="0" t="0" r="0" b="0"/>
            <wp:docPr id="3"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
                    <pic:cNvPicPr>
                      <a:picLocks noChangeAspect="1" noChangeArrowheads="1"/>
                    </pic:cNvPicPr>
                  </pic:nvPicPr>
                  <pic:blipFill>
                    <a:blip r:embed="rId4"/>
                    <a:stretch>
                      <a:fillRect/>
                    </a:stretch>
                  </pic:blipFill>
                  <pic:spPr bwMode="auto">
                    <a:xfrm>
                      <a:off x="0" y="0"/>
                      <a:ext cx="2775585" cy="2082165"/>
                    </a:xfrm>
                    <a:prstGeom prst="rect">
                      <a:avLst/>
                    </a:prstGeom>
                  </pic:spPr>
                </pic:pic>
              </a:graphicData>
            </a:graphic>
          </wp:inline>
        </w:drawing>
      </w:r>
    </w:p>
    <w:p>
      <w:pPr>
        <w:pStyle w:val="Normal"/>
        <w:rPr>
          <w:rFonts w:ascii="Kanit Light" w:hAnsi="Kanit Light" w:cs="Kanit Light"/>
        </w:rPr>
      </w:pPr>
      <w:r>
        <w:rPr>
          <w:rFonts w:cs="Kanit Light" w:ascii="Kanit Light" w:hAnsi="Kanit Light"/>
        </w:rPr>
      </w:r>
    </w:p>
    <w:p>
      <w:pPr>
        <w:pStyle w:val="Normal"/>
        <w:rPr>
          <w:rFonts w:ascii="Kanit Light" w:hAnsi="Kanit Light" w:cs="Kanit Light"/>
          <w:b/>
          <w:bCs/>
        </w:rPr>
      </w:pPr>
      <w:r>
        <w:rPr>
          <w:rFonts w:cs="Kanit Light" w:ascii="Kanit Light" w:hAnsi="Kanit Light"/>
          <w:b/>
          <w:bCs/>
        </w:rPr>
      </w:r>
    </w:p>
    <w:p>
      <w:pPr>
        <w:pStyle w:val="Normal"/>
        <w:rPr>
          <w:rFonts w:ascii="Arial" w:hAnsi="Arial" w:cs="Arial"/>
          <w:b/>
          <w:bCs/>
          <w:sz w:val="28"/>
          <w:szCs w:val="28"/>
        </w:rPr>
      </w:pPr>
      <w:r>
        <w:rPr>
          <w:rFonts w:cs="Arial" w:ascii="Arial" w:hAnsi="Arial"/>
          <w:b/>
          <w:bCs/>
          <w:sz w:val="28"/>
          <w:szCs w:val="28"/>
        </w:rPr>
        <w:t>Lightning Conductors</w:t>
      </w:r>
    </w:p>
    <w:p>
      <w:pPr>
        <w:pStyle w:val="Normal"/>
        <w:rPr>
          <w:rFonts w:ascii="Kanit Light" w:hAnsi="Kanit Light" w:cs="Kanit Light"/>
          <w:b/>
          <w:bCs/>
        </w:rPr>
      </w:pPr>
      <w:r>
        <w:rPr>
          <w:rFonts w:cs="Kanit Light" w:ascii="Kanit Light" w:hAnsi="Kanit Light"/>
          <w:b/>
          <w:bCs/>
        </w:rPr>
        <w:t>Tape Conductors</w:t>
      </w:r>
    </w:p>
    <w:p>
      <w:pPr>
        <w:pStyle w:val="Normal"/>
        <w:jc w:val="left"/>
        <w:rPr>
          <w:rFonts w:ascii="Kanit Light" w:hAnsi="Kanit Light" w:cs="Kanit Light"/>
        </w:rPr>
      </w:pPr>
      <w:r>
        <w:rPr>
          <w:rFonts w:cs="Kanit Light" w:ascii="Kanit Light" w:hAnsi="Kanit Light"/>
        </w:rPr>
        <w:t>Tape conductors are easy to install, with no need to straighten for a neat finish. Available in copper or aluminium, tape conductor can be installed bare or with a choice of PVC covering to enable the tape to blend with modern building fabrics</w:t>
      </w:r>
    </w:p>
    <w:p>
      <w:pPr>
        <w:pStyle w:val="Normal"/>
        <w:rPr>
          <w:rFonts w:ascii="Kanit Light" w:hAnsi="Kanit Light" w:cs="Kanit Light"/>
          <w:b/>
          <w:bCs/>
        </w:rPr>
      </w:pPr>
      <w:r>
        <w:rPr>
          <w:rFonts w:cs="Kanit Light" w:ascii="Kanit Light" w:hAnsi="Kanit Light"/>
          <w:b/>
          <w:bCs/>
        </w:rPr>
        <w:t>Circular Conductors</w:t>
      </w:r>
    </w:p>
    <w:p>
      <w:pPr>
        <w:pStyle w:val="Normal"/>
        <w:jc w:val="left"/>
        <w:rPr>
          <w:rFonts w:ascii="Kanit Light" w:hAnsi="Kanit Light" w:cs="Kanit Light"/>
        </w:rPr>
      </w:pPr>
      <w:r>
        <w:rPr>
          <w:rFonts w:cs="Kanit Light" w:ascii="Kanit Light" w:hAnsi="Kanit Light"/>
        </w:rPr>
        <w:t>Circular conductors can be used in applications where aesthetic considerations are important. Circular conductor is less conspicuous than the tape conductor system and lends itself much better to being concealed. Available in copper or aluminium, circular conductors can also have PVC covering.</w:t>
      </w:r>
    </w:p>
    <w:p>
      <w:pPr>
        <w:pStyle w:val="Normal"/>
        <w:rPr>
          <w:rFonts w:ascii="Kanit Light" w:hAnsi="Kanit Light" w:cs="Kanit Light"/>
        </w:rPr>
      </w:pPr>
      <w:r>
        <w:rPr>
          <w:rFonts w:cs="Kanit Light" w:ascii="Kanit Light" w:hAnsi="Kanit Light"/>
          <w:b/>
          <w:bCs/>
        </w:rPr>
        <w:t>Bare Copper</w:t>
      </w:r>
    </w:p>
    <w:p>
      <w:pPr>
        <w:pStyle w:val="Normal"/>
        <w:jc w:val="left"/>
        <w:rPr>
          <w:rFonts w:ascii="Kanit Light" w:hAnsi="Kanit Light" w:cs="Kanit Light"/>
        </w:rPr>
      </w:pPr>
      <w:r>
        <w:rPr>
          <w:rFonts w:cs="Kanit Light" w:ascii="Kanit Light" w:hAnsi="Kanit Light"/>
        </w:rPr>
        <w:t>Made from BS EN 13601 copper, bare copper passes IEC 62561-2 standard. It is suited for grounding systems and lightning protection systems.</w:t>
      </w:r>
    </w:p>
    <w:p>
      <w:pPr>
        <w:pStyle w:val="Normal"/>
        <w:jc w:val="center"/>
        <w:rPr>
          <w:rFonts w:ascii="Kanit Light" w:hAnsi="Kanit Light" w:cs="Kanit Light"/>
        </w:rPr>
      </w:pPr>
      <w:r>
        <w:rPr/>
        <w:drawing>
          <wp:inline distT="0" distB="0" distL="0" distR="0">
            <wp:extent cx="4324985" cy="1765935"/>
            <wp:effectExtent l="0" t="0" r="0" b="0"/>
            <wp:docPr id="4"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
                    <pic:cNvPicPr>
                      <a:picLocks noChangeAspect="1" noChangeArrowheads="1"/>
                    </pic:cNvPicPr>
                  </pic:nvPicPr>
                  <pic:blipFill>
                    <a:blip r:embed="rId5"/>
                    <a:stretch>
                      <a:fillRect/>
                    </a:stretch>
                  </pic:blipFill>
                  <pic:spPr bwMode="auto">
                    <a:xfrm>
                      <a:off x="0" y="0"/>
                      <a:ext cx="4324985" cy="1765935"/>
                    </a:xfrm>
                    <a:prstGeom prst="rect">
                      <a:avLst/>
                    </a:prstGeom>
                  </pic:spPr>
                </pic:pic>
              </a:graphicData>
            </a:graphic>
          </wp:inline>
        </w:drawing>
      </w:r>
    </w:p>
    <w:p>
      <w:pPr>
        <w:pStyle w:val="Normal"/>
        <w:rPr>
          <w:rFonts w:ascii="Kanit Light" w:hAnsi="Kanit Light" w:cs="Kanit Light"/>
          <w:b/>
          <w:bCs/>
        </w:rPr>
      </w:pPr>
      <w:r>
        <w:rPr>
          <w:rFonts w:cs="Kanit Light" w:ascii="Kanit Light" w:hAnsi="Kanit Light"/>
          <w:b/>
          <w:bCs/>
        </w:rPr>
        <w:t>Copper with PVC</w:t>
      </w:r>
    </w:p>
    <w:p>
      <w:pPr>
        <w:pStyle w:val="Normal"/>
        <w:jc w:val="both"/>
        <w:rPr>
          <w:rFonts w:ascii="Kanit Light" w:hAnsi="Kanit Light" w:cs="Kanit Light"/>
        </w:rPr>
      </w:pPr>
      <w:r>
        <w:rPr>
          <w:rFonts w:cs="Kanit Light" w:ascii="Kanit Light" w:hAnsi="Kanit Light"/>
        </w:rPr>
        <w:t>Made from BS EN 13601 with high conductivity copper and green PVC cover with low smoke halogen free (LSHF), Also copper with PVC passes IEC 62561-2 standard. It is suited for down conductor in lightning protection.</w:t>
      </w:r>
    </w:p>
    <w:p>
      <w:pPr>
        <w:pStyle w:val="Normal"/>
        <w:jc w:val="center"/>
        <w:rPr>
          <w:rFonts w:ascii="Kanit Light" w:hAnsi="Kanit Light" w:cs="Kanit Light"/>
        </w:rPr>
      </w:pPr>
      <w:r>
        <w:rPr/>
        <w:drawing>
          <wp:inline distT="0" distB="0" distL="0" distR="0">
            <wp:extent cx="4387215" cy="1764030"/>
            <wp:effectExtent l="0" t="0" r="0" b="0"/>
            <wp:docPr id="5"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descr=""/>
                    <pic:cNvPicPr>
                      <a:picLocks noChangeAspect="1" noChangeArrowheads="1"/>
                    </pic:cNvPicPr>
                  </pic:nvPicPr>
                  <pic:blipFill>
                    <a:blip r:embed="rId6"/>
                    <a:stretch>
                      <a:fillRect/>
                    </a:stretch>
                  </pic:blipFill>
                  <pic:spPr bwMode="auto">
                    <a:xfrm>
                      <a:off x="0" y="0"/>
                      <a:ext cx="4387215" cy="1764030"/>
                    </a:xfrm>
                    <a:prstGeom prst="rect">
                      <a:avLst/>
                    </a:prstGeom>
                  </pic:spPr>
                </pic:pic>
              </a:graphicData>
            </a:graphic>
          </wp:inline>
        </w:drawing>
      </w:r>
    </w:p>
    <w:p>
      <w:pPr>
        <w:pStyle w:val="Normal"/>
        <w:rPr>
          <w:rFonts w:ascii="Kanit Light" w:hAnsi="Kanit Light" w:cs="Kanit Light"/>
          <w:b/>
          <w:bCs/>
        </w:rPr>
      </w:pPr>
      <w:r>
        <w:rPr>
          <w:rFonts w:cs="Kanit Light" w:ascii="Kanit Light" w:hAnsi="Kanit Light"/>
          <w:b/>
          <w:bCs/>
        </w:rPr>
        <w:t>Annealed Copper-Clad Steel Wire (CCS)</w:t>
      </w:r>
    </w:p>
    <w:p>
      <w:pPr>
        <w:pStyle w:val="Normal"/>
        <w:jc w:val="left"/>
        <w:rPr>
          <w:rFonts w:ascii="Kanit Light" w:hAnsi="Kanit Light" w:cs="Kanit Light"/>
        </w:rPr>
      </w:pPr>
      <w:r>
        <w:rPr>
          <w:rFonts w:cs="Kanit Light" w:ascii="Kanit Light" w:hAnsi="Kanit Light"/>
        </w:rPr>
        <w:t>Made from a cladding between steel and copper, CCS is a grounding grid according to IEC 62305-3 and IEEE 80-2013 standards. It also passes ASTM B910-B910M and IEC 62561-2 standard tests. It is suited for grounding systems and solutions for thefts prevention.</w:t>
      </w:r>
    </w:p>
    <w:p>
      <w:pPr>
        <w:pStyle w:val="Normal"/>
        <w:spacing w:before="0" w:after="160"/>
        <w:jc w:val="center"/>
        <w:rPr>
          <w:rFonts w:ascii="Kanit Light" w:hAnsi="Kanit Light" w:cs="Kanit Light"/>
        </w:rPr>
      </w:pPr>
      <w:r>
        <w:rPr/>
        <w:drawing>
          <wp:inline distT="0" distB="0" distL="0" distR="0">
            <wp:extent cx="3656965" cy="1764030"/>
            <wp:effectExtent l="0" t="0" r="0" b="0"/>
            <wp:docPr id="6"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descr=""/>
                    <pic:cNvPicPr>
                      <a:picLocks noChangeAspect="1" noChangeArrowheads="1"/>
                    </pic:cNvPicPr>
                  </pic:nvPicPr>
                  <pic:blipFill>
                    <a:blip r:embed="rId7"/>
                    <a:stretch>
                      <a:fillRect/>
                    </a:stretch>
                  </pic:blipFill>
                  <pic:spPr bwMode="auto">
                    <a:xfrm>
                      <a:off x="0" y="0"/>
                      <a:ext cx="3656965" cy="1764030"/>
                    </a:xfrm>
                    <a:prstGeom prst="rect">
                      <a:avLst/>
                    </a:prstGeom>
                  </pic:spPr>
                </pic:pic>
              </a:graphicData>
            </a:graphic>
          </wp:inline>
        </w:drawing>
      </w:r>
    </w:p>
    <w:sectPr>
      <w:headerReference w:type="default" r:id="rId8"/>
      <w:type w:val="nextPage"/>
      <w:pgSz w:w="11906" w:h="16838"/>
      <w:pgMar w:left="1440" w:right="1440" w:gutter="0" w:header="1440" w:top="221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rial">
    <w:charset w:val="01"/>
    <w:family w:val="roman"/>
    <w:pitch w:val="variable"/>
  </w:font>
  <w:font w:name="Kanit Light">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160"/>
      <w:rPr/>
    </w:pPr>
    <w:r>
      <w:rPr/>
      <w:drawing>
        <wp:anchor behindDoc="1" distT="0" distB="0" distL="0" distR="0" simplePos="0" locked="0" layoutInCell="0" allowOverlap="1" relativeHeight="9">
          <wp:simplePos x="0" y="0"/>
          <wp:positionH relativeFrom="column">
            <wp:posOffset>4161155</wp:posOffset>
          </wp:positionH>
          <wp:positionV relativeFrom="paragraph">
            <wp:posOffset>-409575</wp:posOffset>
          </wp:positionV>
          <wp:extent cx="1769745" cy="363220"/>
          <wp:effectExtent l="0" t="0" r="0" b="0"/>
          <wp:wrapSquare wrapText="largest"/>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1"/>
                  <a:stretch>
                    <a:fillRect/>
                  </a:stretch>
                </pic:blipFill>
                <pic:spPr bwMode="auto">
                  <a:xfrm>
                    <a:off x="0" y="0"/>
                    <a:ext cx="1769745" cy="363220"/>
                  </a:xfrm>
                  <a:prstGeom prst="rect">
                    <a:avLst/>
                  </a:prstGeom>
                </pic:spPr>
              </pic:pic>
            </a:graphicData>
          </a:graphic>
        </wp:anchor>
      </w:drawing>
    </w:r>
  </w:p>
</w:hdr>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th-T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Cordia New" w:asciiTheme="minorHAnsi" w:cstheme="minorBidi" w:eastAsiaTheme="minorHAnsi" w:hAnsiTheme="minorHAnsi"/>
        <w:kern w:val="2"/>
        <w:sz w:val="24"/>
        <w:szCs w:val="30"/>
        <w:lang w:val="en-US" w:eastAsia="en-US" w:bidi="th-TH"/>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160"/>
      <w:jc w:val="left"/>
    </w:pPr>
    <w:rPr>
      <w:rFonts w:ascii="Aptos" w:hAnsi="Aptos" w:eastAsia="Aptos" w:cs="Cordia New" w:asciiTheme="minorHAnsi" w:cstheme="minorBidi" w:eastAsiaTheme="minorHAnsi" w:hAnsiTheme="minorHAnsi"/>
      <w:color w:val="auto"/>
      <w:kern w:val="2"/>
      <w:sz w:val="24"/>
      <w:szCs w:val="30"/>
      <w:lang w:val="en-US" w:eastAsia="en-US" w:bidi="th-TH"/>
      <w14:ligatures w14:val="standardContextual"/>
    </w:rPr>
  </w:style>
  <w:style w:type="paragraph" w:styleId="Heading1">
    <w:name w:val="Heading 1"/>
    <w:basedOn w:val="Normal"/>
    <w:next w:val="Normal"/>
    <w:link w:val="Heading1Char"/>
    <w:uiPriority w:val="9"/>
    <w:qFormat/>
    <w:rsid w:val="00997bce"/>
    <w:pPr>
      <w:keepNext w:val="true"/>
      <w:keepLines/>
      <w:spacing w:before="320" w:after="40"/>
      <w:outlineLvl w:val="0"/>
    </w:pPr>
    <w:rPr>
      <w:rFonts w:ascii="Aptos Display" w:hAnsi="Aptos Display" w:eastAsia="" w:cs="Angsana New" w:asciiTheme="majorHAnsi" w:cstheme="majorBidi" w:eastAsiaTheme="majorEastAsia" w:hAnsiTheme="majorHAnsi"/>
      <w:color w:themeColor="accent1" w:themeShade="bf" w:val="0F4761"/>
      <w:sz w:val="40"/>
      <w:szCs w:val="50"/>
    </w:rPr>
  </w:style>
  <w:style w:type="paragraph" w:styleId="Heading2">
    <w:name w:val="Heading 2"/>
    <w:basedOn w:val="Normal"/>
    <w:next w:val="Normal"/>
    <w:link w:val="Heading2Char"/>
    <w:uiPriority w:val="9"/>
    <w:semiHidden/>
    <w:unhideWhenUsed/>
    <w:qFormat/>
    <w:rsid w:val="00997bce"/>
    <w:pPr>
      <w:keepNext w:val="true"/>
      <w:keepLines/>
      <w:spacing w:before="120" w:after="40"/>
      <w:outlineLvl w:val="1"/>
    </w:pPr>
    <w:rPr>
      <w:rFonts w:ascii="Aptos Display" w:hAnsi="Aptos Display" w:eastAsia="" w:cs="Angsana New" w:asciiTheme="majorHAnsi" w:cstheme="majorBidi" w:eastAsiaTheme="majorEastAsia" w:hAnsiTheme="majorHAnsi"/>
      <w:color w:themeColor="accent1" w:themeShade="bf" w:val="0F4761"/>
      <w:sz w:val="32"/>
      <w:szCs w:val="40"/>
    </w:rPr>
  </w:style>
  <w:style w:type="paragraph" w:styleId="Heading3">
    <w:name w:val="Heading 3"/>
    <w:basedOn w:val="Normal"/>
    <w:next w:val="Normal"/>
    <w:link w:val="Heading3Char"/>
    <w:uiPriority w:val="9"/>
    <w:unhideWhenUsed/>
    <w:qFormat/>
    <w:rsid w:val="00997bce"/>
    <w:pPr>
      <w:keepNext w:val="true"/>
      <w:keepLines/>
      <w:spacing w:before="120" w:after="40"/>
      <w:outlineLvl w:val="2"/>
    </w:pPr>
    <w:rPr>
      <w:rFonts w:eastAsia="" w:cs="Angsana New" w:cstheme="majorBidi" w:eastAsiaTheme="majorEastAsia"/>
      <w:color w:themeColor="accent1" w:themeShade="bf" w:val="0F4761"/>
      <w:sz w:val="28"/>
      <w:szCs w:val="35"/>
    </w:rPr>
  </w:style>
  <w:style w:type="paragraph" w:styleId="Heading4">
    <w:name w:val="Heading 4"/>
    <w:basedOn w:val="Normal"/>
    <w:next w:val="Normal"/>
    <w:link w:val="Heading4Char"/>
    <w:uiPriority w:val="9"/>
    <w:semiHidden/>
    <w:unhideWhenUsed/>
    <w:qFormat/>
    <w:rsid w:val="00997bce"/>
    <w:pPr>
      <w:keepNext w:val="true"/>
      <w:keepLines/>
      <w:spacing w:before="80" w:after="40"/>
      <w:outlineLvl w:val="3"/>
    </w:pPr>
    <w:rPr>
      <w:rFonts w:eastAsia="" w:cs="Angsana New"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997bce"/>
    <w:pPr>
      <w:keepNext w:val="true"/>
      <w:keepLines/>
      <w:spacing w:before="80" w:after="40"/>
      <w:outlineLvl w:val="4"/>
    </w:pPr>
    <w:rPr>
      <w:rFonts w:eastAsia="" w:cs="Angsana New"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997bce"/>
    <w:pPr>
      <w:keepNext w:val="true"/>
      <w:keepLines/>
      <w:spacing w:before="40" w:after="0"/>
      <w:outlineLvl w:val="5"/>
    </w:pPr>
    <w:rPr>
      <w:rFonts w:eastAsia="" w:cs="Angsana New"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97bce"/>
    <w:pPr>
      <w:keepNext w:val="true"/>
      <w:keepLines/>
      <w:spacing w:before="40" w:after="0"/>
      <w:outlineLvl w:val="6"/>
    </w:pPr>
    <w:rPr>
      <w:rFonts w:eastAsia="" w:cs="Angsana New"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97bce"/>
    <w:pPr>
      <w:keepNext w:val="true"/>
      <w:keepLines/>
      <w:spacing w:before="0" w:after="0"/>
      <w:outlineLvl w:val="7"/>
    </w:pPr>
    <w:rPr>
      <w:rFonts w:eastAsia="" w:cs="Angsana New"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97bce"/>
    <w:pPr>
      <w:keepNext w:val="true"/>
      <w:keepLines/>
      <w:spacing w:before="0" w:after="0"/>
      <w:outlineLvl w:val="8"/>
    </w:pPr>
    <w:rPr>
      <w:rFonts w:eastAsia="" w:cs="Angsana New"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997bce"/>
    <w:rPr>
      <w:rFonts w:ascii="Aptos Display" w:hAnsi="Aptos Display" w:eastAsia="" w:cs="Angsana New" w:asciiTheme="majorHAnsi" w:cstheme="majorBidi" w:eastAsiaTheme="majorEastAsia" w:hAnsiTheme="majorHAnsi"/>
      <w:color w:themeColor="accent1" w:themeShade="bf" w:val="0F4761"/>
      <w:sz w:val="40"/>
      <w:szCs w:val="50"/>
    </w:rPr>
  </w:style>
  <w:style w:type="character" w:styleId="Heading2Char" w:customStyle="1">
    <w:name w:val="Heading 2 Char"/>
    <w:basedOn w:val="DefaultParagraphFont"/>
    <w:link w:val="Heading2"/>
    <w:uiPriority w:val="9"/>
    <w:semiHidden/>
    <w:qFormat/>
    <w:rsid w:val="00997bce"/>
    <w:rPr>
      <w:rFonts w:ascii="Aptos Display" w:hAnsi="Aptos Display" w:eastAsia="" w:cs="Angsana New" w:asciiTheme="majorHAnsi" w:cstheme="majorBidi" w:eastAsiaTheme="majorEastAsia" w:hAnsiTheme="majorHAnsi"/>
      <w:color w:themeColor="accent1" w:themeShade="bf" w:val="0F4761"/>
      <w:sz w:val="32"/>
      <w:szCs w:val="40"/>
    </w:rPr>
  </w:style>
  <w:style w:type="character" w:styleId="Heading3Char" w:customStyle="1">
    <w:name w:val="Heading 3 Char"/>
    <w:basedOn w:val="DefaultParagraphFont"/>
    <w:link w:val="Heading3"/>
    <w:uiPriority w:val="9"/>
    <w:qFormat/>
    <w:rsid w:val="00997bce"/>
    <w:rPr>
      <w:rFonts w:eastAsia="" w:cs="Angsana New" w:cstheme="majorBidi" w:eastAsiaTheme="majorEastAsia"/>
      <w:color w:themeColor="accent1" w:themeShade="bf" w:val="0F4761"/>
      <w:sz w:val="28"/>
      <w:szCs w:val="35"/>
    </w:rPr>
  </w:style>
  <w:style w:type="character" w:styleId="Heading4Char" w:customStyle="1">
    <w:name w:val="Heading 4 Char"/>
    <w:basedOn w:val="DefaultParagraphFont"/>
    <w:link w:val="Heading4"/>
    <w:uiPriority w:val="9"/>
    <w:semiHidden/>
    <w:qFormat/>
    <w:rsid w:val="00997bce"/>
    <w:rPr>
      <w:rFonts w:eastAsia="" w:cs="Angsana New"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997bce"/>
    <w:rPr>
      <w:rFonts w:eastAsia="" w:cs="Angsana New"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997bce"/>
    <w:rPr>
      <w:rFonts w:eastAsia="" w:cs="Angsana New"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97bce"/>
    <w:rPr>
      <w:rFonts w:eastAsia="" w:cs="Angsana New"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97bce"/>
    <w:rPr>
      <w:rFonts w:eastAsia="" w:cs="Angsana New"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97bce"/>
    <w:rPr>
      <w:rFonts w:eastAsia="" w:cs="Angsana New" w:cstheme="majorBidi" w:eastAsiaTheme="majorEastAsia"/>
      <w:color w:themeColor="text1" w:themeTint="d8" w:val="272727"/>
    </w:rPr>
  </w:style>
  <w:style w:type="character" w:styleId="TitleChar" w:customStyle="1">
    <w:name w:val="Title Char"/>
    <w:basedOn w:val="DefaultParagraphFont"/>
    <w:link w:val="Title"/>
    <w:uiPriority w:val="10"/>
    <w:qFormat/>
    <w:rsid w:val="00997bce"/>
    <w:rPr>
      <w:rFonts w:ascii="Aptos Display" w:hAnsi="Aptos Display" w:eastAsia="" w:cs="Angsana New" w:asciiTheme="majorHAnsi" w:cstheme="majorBidi" w:eastAsiaTheme="majorEastAsia" w:hAnsiTheme="majorHAnsi"/>
      <w:spacing w:val="-10"/>
      <w:kern w:val="2"/>
      <w:sz w:val="56"/>
      <w:szCs w:val="71"/>
    </w:rPr>
  </w:style>
  <w:style w:type="character" w:styleId="SubtitleChar" w:customStyle="1">
    <w:name w:val="Subtitle Char"/>
    <w:basedOn w:val="DefaultParagraphFont"/>
    <w:link w:val="Subtitle"/>
    <w:uiPriority w:val="11"/>
    <w:qFormat/>
    <w:rsid w:val="00997bce"/>
    <w:rPr>
      <w:rFonts w:eastAsia="" w:cs="Angsana New" w:cstheme="majorBidi" w:eastAsiaTheme="majorEastAsia"/>
      <w:color w:themeColor="text1" w:themeTint="a6" w:val="595959"/>
      <w:spacing w:val="15"/>
      <w:sz w:val="28"/>
      <w:szCs w:val="35"/>
    </w:rPr>
  </w:style>
  <w:style w:type="character" w:styleId="QuoteChar" w:customStyle="1">
    <w:name w:val="Quote Char"/>
    <w:basedOn w:val="DefaultParagraphFont"/>
    <w:link w:val="Quote"/>
    <w:uiPriority w:val="29"/>
    <w:qFormat/>
    <w:rsid w:val="00997bce"/>
    <w:rPr>
      <w:i/>
      <w:iCs/>
      <w:color w:themeColor="text1" w:themeTint="bf" w:val="404040"/>
    </w:rPr>
  </w:style>
  <w:style w:type="character" w:styleId="IntenseEmphasis">
    <w:name w:val="Intense Emphasis"/>
    <w:basedOn w:val="DefaultParagraphFont"/>
    <w:uiPriority w:val="21"/>
    <w:qFormat/>
    <w:rsid w:val="00997bce"/>
    <w:rPr>
      <w:i/>
      <w:iCs/>
      <w:color w:themeColor="accent1" w:themeShade="bf" w:val="0F4761"/>
    </w:rPr>
  </w:style>
  <w:style w:type="character" w:styleId="IntenseQuoteChar" w:customStyle="1">
    <w:name w:val="Intense Quote Char"/>
    <w:basedOn w:val="DefaultParagraphFont"/>
    <w:link w:val="IntenseQuote"/>
    <w:uiPriority w:val="30"/>
    <w:qFormat/>
    <w:rsid w:val="00997bce"/>
    <w:rPr>
      <w:i/>
      <w:iCs/>
      <w:color w:themeColor="accent1" w:themeShade="bf" w:val="0F4761"/>
    </w:rPr>
  </w:style>
  <w:style w:type="character" w:styleId="IntenseReference">
    <w:name w:val="Intense Reference"/>
    <w:basedOn w:val="DefaultParagraphFont"/>
    <w:uiPriority w:val="32"/>
    <w:qFormat/>
    <w:rsid w:val="00997bc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997bce"/>
    <w:pPr>
      <w:spacing w:before="0" w:after="40"/>
      <w:contextualSpacing/>
    </w:pPr>
    <w:rPr>
      <w:rFonts w:ascii="Aptos Display" w:hAnsi="Aptos Display" w:eastAsia="" w:cs="Angsana New" w:asciiTheme="majorHAnsi" w:cstheme="majorBidi" w:eastAsiaTheme="majorEastAsia" w:hAnsiTheme="majorHAnsi"/>
      <w:spacing w:val="-10"/>
      <w:kern w:val="2"/>
      <w:sz w:val="56"/>
      <w:szCs w:val="71"/>
    </w:rPr>
  </w:style>
  <w:style w:type="paragraph" w:styleId="Subtitle">
    <w:name w:val="Subtitle"/>
    <w:basedOn w:val="Normal"/>
    <w:next w:val="Normal"/>
    <w:link w:val="SubtitleChar"/>
    <w:uiPriority w:val="11"/>
    <w:qFormat/>
    <w:rsid w:val="00997bce"/>
    <w:pPr/>
    <w:rPr>
      <w:rFonts w:eastAsia="" w:cs="Angsana New" w:cstheme="majorBidi" w:eastAsiaTheme="majorEastAsia"/>
      <w:color w:themeColor="text1" w:themeTint="a6" w:val="595959"/>
      <w:spacing w:val="15"/>
      <w:sz w:val="28"/>
      <w:szCs w:val="35"/>
    </w:rPr>
  </w:style>
  <w:style w:type="paragraph" w:styleId="Quote">
    <w:name w:val="Quote"/>
    <w:basedOn w:val="Normal"/>
    <w:next w:val="Normal"/>
    <w:link w:val="QuoteChar"/>
    <w:uiPriority w:val="29"/>
    <w:qFormat/>
    <w:rsid w:val="00997bce"/>
    <w:pPr>
      <w:spacing w:before="160" w:after="160"/>
      <w:jc w:val="center"/>
    </w:pPr>
    <w:rPr>
      <w:i/>
      <w:iCs/>
      <w:color w:themeColor="text1" w:themeTint="bf" w:val="404040"/>
    </w:rPr>
  </w:style>
  <w:style w:type="paragraph" w:styleId="ListParagraph">
    <w:name w:val="List Paragraph"/>
    <w:basedOn w:val="Normal"/>
    <w:uiPriority w:val="34"/>
    <w:qFormat/>
    <w:rsid w:val="00997bce"/>
    <w:pPr>
      <w:spacing w:before="0" w:after="160"/>
      <w:ind w:left="720"/>
      <w:contextualSpacing/>
    </w:pPr>
    <w:rPr/>
  </w:style>
  <w:style w:type="paragraph" w:styleId="IntenseQuote">
    <w:name w:val="Intense Quote"/>
    <w:basedOn w:val="Normal"/>
    <w:next w:val="Normal"/>
    <w:link w:val="IntenseQuoteChar"/>
    <w:uiPriority w:val="30"/>
    <w:qFormat/>
    <w:rsid w:val="00997bc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Header">
    <w:name w:val="Header"/>
    <w:basedOn w:val="HeaderandFooter"/>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7.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TotalTime>
  <Application>LibreOffice/24.2.7.2$Linux_X86_64 LibreOffice_project/420$Build-2</Application>
  <AppVersion>15.0000</AppVersion>
  <Pages>3</Pages>
  <Words>300</Words>
  <Characters>1696</Characters>
  <CharactersWithSpaces>1987</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2026-05-27T04:19:00Z</dcterms:created>
  <dc:creator>Maytas Nateenantasawasd</dc:creator>
  <dc:description/>
  <dc:language>en-US</dc:language>
  <cp:lastModifiedBy/>
  <dcterms:modified xsi:type="dcterms:W3CDTF">2026-08-03T11:10:06Z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