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Kanit Light" w:hAnsi="Kanit Light" w:cs="Kanit Light"/>
        </w:rPr>
      </w:pPr>
      <w:r>
        <w:rPr/>
        <w:drawing>
          <wp:inline distT="0" distB="0" distL="0" distR="0">
            <wp:extent cx="5731510" cy="16313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  <w:t>Kumwell Copper-Bonded Ground Rod</w:t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  <w:t>Kumwell copper-bonded ground rods feature a copper bonding thickness of over 0.25 mm (250 microns), providing a service life of more than 40 years (General soil condition). We are proud to be the </w:t>
      </w:r>
      <w:r>
        <w:rPr>
          <w:rFonts w:cs="Kanit Light" w:ascii="Kanit Light" w:hAnsi="Kanit Light"/>
          <w:b/>
          <w:bCs/>
        </w:rPr>
        <w:t>first manufacturer in Thailand</w:t>
      </w:r>
      <w:r>
        <w:rPr>
          <w:rFonts w:cs="Kanit Light" w:ascii="Kanit Light" w:hAnsi="Kanit Light"/>
        </w:rPr>
        <w:t> certified with the Thai Industrial Standard (TIS 3024 Part 2-2020), and our products also tested </w:t>
      </w:r>
      <w:r>
        <w:rPr>
          <w:rFonts w:cs="Kanit Light" w:ascii="Kanit Light" w:hAnsi="Kanit Light"/>
          <w:b/>
          <w:bCs/>
        </w:rPr>
        <w:t>IEC 62561-2</w:t>
      </w:r>
      <w:r>
        <w:rPr>
          <w:rFonts w:cs="Kanit Light" w:ascii="Kanit Light" w:hAnsi="Kanit Light"/>
        </w:rPr>
        <w:t> and </w:t>
      </w:r>
      <w:r>
        <w:rPr>
          <w:rFonts w:cs="Kanit Light" w:ascii="Kanit Light" w:hAnsi="Kanit Light"/>
          <w:b/>
          <w:bCs/>
        </w:rPr>
        <w:t>UL 467</w:t>
      </w:r>
      <w:r>
        <w:rPr>
          <w:rFonts w:cs="Kanit Light" w:ascii="Kanit Light" w:hAnsi="Kanit Light"/>
        </w:rPr>
        <w:t> international standards.</w:t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  <w:t>This ensures superior durability, safety, and long-term reliability for every electrical grounding system.</w:t>
      </w:r>
    </w:p>
    <w:p>
      <w:pPr>
        <w:pStyle w:val="Normal"/>
        <w:jc w:val="left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  <w:t>UL Series</w:t>
      </w:r>
    </w:p>
    <w:p>
      <w:pPr>
        <w:pStyle w:val="Normal"/>
        <w:jc w:val="left"/>
        <w:rPr>
          <w:rFonts w:ascii="Kanit Light" w:hAnsi="Kanit Light" w:cs="Kanit Light"/>
          <w:b/>
          <w:bCs/>
          <w:sz w:val="22"/>
          <w:szCs w:val="24"/>
        </w:rPr>
      </w:pPr>
      <w:r>
        <w:rPr>
          <w:rFonts w:cs="Kanit Light" w:ascii="Kanit Light" w:hAnsi="Kanit Light"/>
          <w:sz w:val="22"/>
          <w:szCs w:val="24"/>
        </w:rPr>
        <w:t>The UL Series ground rods are </w:t>
      </w:r>
      <w:r>
        <w:rPr>
          <w:rFonts w:cs="Kanit Light" w:ascii="Kanit Light" w:hAnsi="Kanit Light"/>
          <w:b/>
          <w:bCs/>
          <w:sz w:val="22"/>
          <w:szCs w:val="24"/>
        </w:rPr>
        <w:t>certified by</w:t>
      </w:r>
      <w:r>
        <w:rPr>
          <w:rFonts w:cs="Kanit Light" w:ascii="Kanit Light" w:hAnsi="Kanit Light"/>
          <w:sz w:val="22"/>
          <w:szCs w:val="24"/>
        </w:rPr>
        <w:t> UL and test according to</w:t>
      </w:r>
      <w:r>
        <w:rPr>
          <w:rFonts w:cs="Kanit Light" w:ascii="Kanit Light" w:hAnsi="Kanit Light"/>
          <w:b/>
          <w:bCs/>
          <w:sz w:val="22"/>
          <w:szCs w:val="24"/>
        </w:rPr>
        <w:t xml:space="preserve"> IEC 62561-2</w:t>
      </w:r>
      <w:r>
        <w:rPr>
          <w:rFonts w:cs="Kanit Light" w:ascii="Kanit Light" w:hAnsi="Kanit Light"/>
          <w:sz w:val="22"/>
          <w:szCs w:val="24"/>
        </w:rPr>
        <w:t> standards.</w:t>
      </w:r>
    </w:p>
    <w:p>
      <w:pPr>
        <w:pStyle w:val="Normal"/>
        <w:rPr>
          <w:rFonts w:ascii="Kanit Light" w:hAnsi="Kanit Light" w:cs="Kanit Light"/>
        </w:rPr>
      </w:pPr>
      <w:r>
        <w:rPr/>
        <w:drawing>
          <wp:inline distT="0" distB="0" distL="0" distR="0">
            <wp:extent cx="5731510" cy="209931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</w:r>
    </w:p>
    <w:p>
      <w:pPr>
        <w:pStyle w:val="Normal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</w:r>
    </w:p>
    <w:p>
      <w:pPr>
        <w:pStyle w:val="Normal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</w:r>
    </w:p>
    <w:p>
      <w:pPr>
        <w:pStyle w:val="Normal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</w:r>
    </w:p>
    <w:p>
      <w:pPr>
        <w:pStyle w:val="Normal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</w:r>
    </w:p>
    <w:p>
      <w:pPr>
        <w:pStyle w:val="Normal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</w:r>
    </w:p>
    <w:p>
      <w:pPr>
        <w:pStyle w:val="Normal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  <w:t>Kumwell Solid Copper Ground Rod</w:t>
      </w:r>
      <w:r>
        <w:rPr/>
        <w:drawing>
          <wp:inline distT="0" distB="0" distL="0" distR="0">
            <wp:extent cx="5731510" cy="146494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  <w:t>Made from 99% pure copper, high strength and high resistance in demanding environments, including </w:t>
      </w:r>
      <w:r>
        <w:rPr>
          <w:rFonts w:cs="Kanit Light" w:ascii="Kanit Light" w:hAnsi="Kanit Light"/>
          <w:b/>
          <w:bCs/>
        </w:rPr>
        <w:t>coastal areas</w:t>
      </w:r>
      <w:r>
        <w:rPr>
          <w:rFonts w:cs="Kanit Light" w:ascii="Kanit Light" w:hAnsi="Kanit Light"/>
        </w:rPr>
        <w:t> and soils with </w:t>
      </w:r>
      <w:r>
        <w:rPr>
          <w:rFonts w:cs="Kanit Light" w:ascii="Kanit Light" w:hAnsi="Kanit Light"/>
          <w:b/>
          <w:bCs/>
        </w:rPr>
        <w:t>pH values &gt; 8.</w:t>
      </w:r>
      <w:r>
        <w:rPr>
          <w:rFonts w:cs="Kanit Light" w:ascii="Kanit Light" w:hAnsi="Kanit Light"/>
        </w:rPr>
        <w:t> The product is according to </w:t>
      </w:r>
      <w:r>
        <w:rPr>
          <w:rFonts w:cs="Kanit Light" w:ascii="Kanit Light" w:hAnsi="Kanit Light"/>
          <w:b/>
          <w:bCs/>
        </w:rPr>
        <w:t>IEC 62561-2</w:t>
      </w:r>
      <w:r>
        <w:rPr>
          <w:rFonts w:cs="Kanit Light" w:ascii="Kanit Light" w:hAnsi="Kanit Light"/>
        </w:rPr>
        <w:t> standard.</w:t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  <w:t>*</w:t>
      </w:r>
      <w:r>
        <w:rPr>
          <w:rFonts w:cs="Kanit Light" w:ascii="Kanit Light" w:hAnsi="Kanit Light"/>
          <w:b/>
          <w:bCs/>
        </w:rPr>
        <w:t>*Caution:</w:t>
      </w:r>
      <w:r>
        <w:rPr>
          <w:rFonts w:cs="Kanit Light" w:ascii="Kanit Light" w:hAnsi="Kanit Light"/>
        </w:rPr>
        <w:t> Do not drive the rod directly into the ground. It is recommended to dig a hole prior to installation to prevent damage or breakage of the ground rod.</w:t>
      </w:r>
    </w:p>
    <w:p>
      <w:pPr>
        <w:pStyle w:val="Normal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</w:r>
    </w:p>
    <w:p>
      <w:pPr>
        <w:pStyle w:val="Normal"/>
        <w:rPr>
          <w:rFonts w:ascii="Kanit Light" w:hAnsi="Kanit Light" w:cs="Kanit Light"/>
        </w:rPr>
      </w:pPr>
      <w:r>
        <w:rPr>
          <w:rFonts w:cs="Kanit Light" w:ascii="Kanit Light" w:hAnsi="Kanit Light"/>
          <w:b/>
          <w:bCs/>
        </w:rPr>
        <w:t>Kumwell Stainless Steel Ground Rod</w:t>
      </w:r>
      <w:r>
        <w:rPr/>
        <w:drawing>
          <wp:inline distT="0" distB="0" distL="0" distR="0">
            <wp:extent cx="5731510" cy="134175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  <w:t>Made from </w:t>
      </w:r>
      <w:r>
        <w:rPr>
          <w:rFonts w:cs="Kanit Light" w:ascii="Kanit Light" w:hAnsi="Kanit Light"/>
          <w:b/>
          <w:bCs/>
        </w:rPr>
        <w:t>316L stainless steel</w:t>
      </w:r>
      <w:r>
        <w:rPr>
          <w:rFonts w:cs="Kanit Light" w:ascii="Kanit Light" w:hAnsi="Kanit Light"/>
        </w:rPr>
        <w:t> which provides superior corrosion resistance in all environments, particularly in soils with </w:t>
      </w:r>
      <w:r>
        <w:rPr>
          <w:rFonts w:cs="Kanit Light" w:ascii="Kanit Light" w:hAnsi="Kanit Light"/>
          <w:b/>
          <w:bCs/>
        </w:rPr>
        <w:t>pH values &lt; 6.</w:t>
      </w:r>
      <w:r>
        <w:rPr>
          <w:rFonts w:cs="Kanit Light" w:ascii="Kanit Light" w:hAnsi="Kanit Light"/>
        </w:rPr>
        <w:t> Grade 316L stainless steel features a low-carbon composition and delivers stronger weld joints compared to standard 316 when applied with Exothermic welding. </w:t>
      </w:r>
      <w:r>
        <w:rPr>
          <w:rFonts w:cs="Kanit Light" w:ascii="Kanit Light" w:hAnsi="Kanit Light"/>
          <w:b/>
          <w:bCs/>
        </w:rPr>
        <w:t>The product is according to IEC 62561-2 standard.</w:t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  <w:b/>
          <w:bCs/>
        </w:rPr>
        <w:t>**Recommendation:</w:t>
      </w:r>
      <w:r>
        <w:rPr>
          <w:rFonts w:cs="Kanit Light" w:ascii="Kanit Light" w:hAnsi="Kanit Light"/>
        </w:rPr>
        <w:t> To comply with </w:t>
      </w:r>
      <w:r>
        <w:rPr>
          <w:rFonts w:cs="Kanit Light" w:ascii="Kanit Light" w:hAnsi="Kanit Light"/>
          <w:b/>
          <w:bCs/>
        </w:rPr>
        <w:t>IEC 62561-2</w:t>
      </w:r>
      <w:r>
        <w:rPr>
          <w:rFonts w:cs="Kanit Light" w:ascii="Kanit Light" w:hAnsi="Kanit Light"/>
        </w:rPr>
        <w:t> standard, stainless steel ground rods must contain more than 2% molybdenum to ensure resistance against rust and corrosion. Therefore, grade 304 stainless steel is not compliant with this standard.</w:t>
      </w:r>
      <w:r>
        <w:rPr/>
        <w:t xml:space="preserve"> </w:t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  <w:t>Coupling</w:t>
      </w:r>
    </w:p>
    <w:p>
      <w:pPr>
        <w:pStyle w:val="Normal"/>
        <w:jc w:val="center"/>
        <w:rPr>
          <w:rFonts w:ascii="Kanit Light" w:hAnsi="Kanit Light" w:cs="Kanit Light"/>
        </w:rPr>
      </w:pPr>
      <w:r>
        <w:rPr/>
        <w:drawing>
          <wp:inline distT="0" distB="0" distL="0" distR="0">
            <wp:extent cx="5262245" cy="285813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  <w:t>Driving Head</w:t>
      </w:r>
    </w:p>
    <w:p>
      <w:pPr>
        <w:pStyle w:val="Normal"/>
        <w:rPr>
          <w:rFonts w:ascii="Kanit Light" w:hAnsi="Kanit Light" w:cs="Kanit Light"/>
        </w:rPr>
      </w:pPr>
      <w:r>
        <w:rPr/>
        <w:drawing>
          <wp:inline distT="0" distB="0" distL="0" distR="0">
            <wp:extent cx="5731510" cy="127444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Kanit Light" w:hAnsi="Kanit Light" w:cs="Kanit Light"/>
          <w:b/>
          <w:bCs/>
        </w:rPr>
      </w:pPr>
      <w:r>
        <w:rPr>
          <w:rFonts w:cs="Kanit Light" w:ascii="Kanit Light" w:hAnsi="Kanit Light"/>
          <w:b/>
          <w:bCs/>
        </w:rPr>
        <w:t>Tip</w:t>
      </w:r>
    </w:p>
    <w:p>
      <w:pPr>
        <w:pStyle w:val="Normal"/>
        <w:rPr>
          <w:rFonts w:ascii="Kanit Light" w:hAnsi="Kanit Light" w:cs="Kanit Light"/>
        </w:rPr>
      </w:pPr>
      <w:r>
        <w:rPr/>
        <w:drawing>
          <wp:inline distT="0" distB="0" distL="0" distR="0">
            <wp:extent cx="5731510" cy="116205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Kanit Light" w:hAnsi="Kanit Light" w:cs="Kanit Light"/>
        </w:rPr>
      </w:pPr>
      <w:r>
        <w:rPr>
          <w:rFonts w:cs="Kanit Light" w:ascii="Kanit Light" w:hAnsi="Kanit Light"/>
        </w:rPr>
      </w:r>
    </w:p>
    <w:p>
      <w:pPr>
        <w:pStyle w:val="Normal"/>
        <w:rPr>
          <w:rFonts w:ascii="Kanit Light" w:hAnsi="Kanit Light" w:cs="Kanit Light"/>
        </w:rPr>
      </w:pPr>
      <w:r>
        <w:rPr>
          <w:rFonts w:cs="Kanit Light" w:ascii="Kanit Light" w:hAnsi="Kanit Light"/>
        </w:rPr>
      </w:r>
    </w:p>
    <w:p>
      <w:pPr>
        <w:pStyle w:val="Normal"/>
        <w:spacing w:before="0" w:after="160"/>
        <w:rPr>
          <w:rFonts w:ascii="Kanit Light" w:hAnsi="Kanit Light" w:cs="Kanit Light"/>
        </w:rPr>
      </w:pPr>
      <w:r>
        <w:rPr>
          <w:rFonts w:cs="Kanit Light" w:ascii="Kanit Light" w:hAnsi="Kanit Light"/>
        </w:rPr>
      </w:r>
    </w:p>
    <w:sectPr>
      <w:headerReference w:type="default" r:id="rId9"/>
      <w:type w:val="nextPage"/>
      <w:pgSz w:w="11906" w:h="16838"/>
      <w:pgMar w:left="1440" w:right="1440" w:gutter="0" w:header="1440" w:top="221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Kanit Ligh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spacing w:before="0" w:after="160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column">
            <wp:posOffset>4161155</wp:posOffset>
          </wp:positionH>
          <wp:positionV relativeFrom="paragraph">
            <wp:posOffset>-409575</wp:posOffset>
          </wp:positionV>
          <wp:extent cx="1769745" cy="36322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69745" cy="363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9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Cordia New" w:asciiTheme="minorHAnsi" w:cstheme="minorBidi" w:eastAsiaTheme="minorHAnsi" w:hAnsiTheme="minorHAns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/>
      <w:jc w:val="left"/>
    </w:pPr>
    <w:rPr>
      <w:rFonts w:ascii="Aptos" w:hAnsi="Aptos" w:eastAsia="Aptos" w:cs="Cordia New" w:asciiTheme="minorHAnsi" w:cstheme="minorBidi" w:eastAsiaTheme="minorHAnsi" w:hAnsiTheme="minorHAnsi"/>
      <w:color w:val="auto"/>
      <w:kern w:val="2"/>
      <w:sz w:val="24"/>
      <w:szCs w:val="30"/>
      <w:lang w:val="en-US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ff8"/>
    <w:pPr>
      <w:keepNext w:val="true"/>
      <w:keepLines/>
      <w:spacing w:before="320" w:after="40"/>
      <w:outlineLvl w:val="0"/>
    </w:pPr>
    <w:rPr>
      <w:rFonts w:ascii="Aptos Display" w:hAnsi="Aptos Display" w:eastAsia="" w:cs="Angsana New" w:asciiTheme="majorHAnsi" w:cstheme="majorBidi" w:eastAsiaTheme="majorEastAsia" w:hAnsiTheme="majorHAnsi"/>
      <w:color w:themeColor="accent1" w:themeShade="bf"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f8"/>
    <w:pPr>
      <w:keepNext w:val="true"/>
      <w:keepLines/>
      <w:spacing w:before="120" w:after="40"/>
      <w:outlineLvl w:val="1"/>
    </w:pPr>
    <w:rPr>
      <w:rFonts w:ascii="Aptos Display" w:hAnsi="Aptos Display" w:eastAsia="" w:cs="Angsana New" w:asciiTheme="majorHAnsi" w:cstheme="majorBidi" w:eastAsiaTheme="majorEastAsia" w:hAnsiTheme="majorHAnsi"/>
      <w:color w:themeColor="accent1" w:themeShade="bf"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ff8"/>
    <w:pPr>
      <w:keepNext w:val="true"/>
      <w:keepLines/>
      <w:spacing w:before="120" w:after="40"/>
      <w:outlineLvl w:val="2"/>
    </w:pPr>
    <w:rPr>
      <w:rFonts w:eastAsia="" w:cs="Angsana New" w:cstheme="majorBidi" w:eastAsiaTheme="majorEastAsia"/>
      <w:color w:themeColor="accent1" w:themeShade="bf"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f8"/>
    <w:pPr>
      <w:keepNext w:val="true"/>
      <w:keepLines/>
      <w:spacing w:before="80" w:after="40"/>
      <w:outlineLvl w:val="3"/>
    </w:pPr>
    <w:rPr>
      <w:rFonts w:eastAsia="" w:cs="Angsana New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f8"/>
    <w:pPr>
      <w:keepNext w:val="true"/>
      <w:keepLines/>
      <w:spacing w:before="80" w:after="40"/>
      <w:outlineLvl w:val="4"/>
    </w:pPr>
    <w:rPr>
      <w:rFonts w:eastAsia="" w:cs="Angsana New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f8"/>
    <w:pPr>
      <w:keepNext w:val="true"/>
      <w:keepLines/>
      <w:spacing w:before="40" w:after="0"/>
      <w:outlineLvl w:val="5"/>
    </w:pPr>
    <w:rPr>
      <w:rFonts w:eastAsia="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f8"/>
    <w:pPr>
      <w:keepNext w:val="true"/>
      <w:keepLines/>
      <w:spacing w:before="40" w:after="0"/>
      <w:outlineLvl w:val="6"/>
    </w:pPr>
    <w:rPr>
      <w:rFonts w:eastAsia="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f8"/>
    <w:pPr>
      <w:keepNext w:val="true"/>
      <w:keepLines/>
      <w:spacing w:before="0" w:after="0"/>
      <w:outlineLvl w:val="7"/>
    </w:pPr>
    <w:rPr>
      <w:rFonts w:eastAsia="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f8"/>
    <w:pPr>
      <w:keepNext w:val="true"/>
      <w:keepLines/>
      <w:spacing w:before="0" w:after="0"/>
      <w:outlineLvl w:val="8"/>
    </w:pPr>
    <w:rPr>
      <w:rFonts w:eastAsia="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44ff8"/>
    <w:rPr>
      <w:rFonts w:ascii="Aptos Display" w:hAnsi="Aptos Display" w:eastAsia="" w:cs="Angsana New" w:asciiTheme="majorHAnsi" w:cstheme="majorBidi" w:eastAsiaTheme="majorEastAsia" w:hAnsiTheme="majorHAnsi"/>
      <w:color w:themeColor="accent1" w:themeShade="bf" w:val="0F4761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44ff8"/>
    <w:rPr>
      <w:rFonts w:ascii="Aptos Display" w:hAnsi="Aptos Display" w:eastAsia="" w:cs="Angsana New" w:asciiTheme="majorHAnsi" w:cstheme="majorBidi" w:eastAsiaTheme="majorEastAsia" w:hAnsiTheme="majorHAnsi"/>
      <w:color w:themeColor="accent1" w:themeShade="bf" w:val="0F4761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044ff8"/>
    <w:rPr>
      <w:rFonts w:eastAsia="" w:cs="Angsana New" w:cstheme="majorBidi" w:eastAsiaTheme="majorEastAsia"/>
      <w:color w:themeColor="accent1" w:themeShade="bf" w:val="0F4761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44ff8"/>
    <w:rPr>
      <w:rFonts w:eastAsia="" w:cs="Angsana New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44ff8"/>
    <w:rPr>
      <w:rFonts w:eastAsia="" w:cs="Angsana New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44ff8"/>
    <w:rPr>
      <w:rFonts w:eastAsia="" w:cs="Angsana New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44ff8"/>
    <w:rPr>
      <w:rFonts w:eastAsia="" w:cs="Angsana New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44ff8"/>
    <w:rPr>
      <w:rFonts w:eastAsia="" w:cs="Angsana New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44ff8"/>
    <w:rPr>
      <w:rFonts w:eastAsia="" w:cs="Angsana New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44ff8"/>
    <w:rPr>
      <w:rFonts w:ascii="Aptos Display" w:hAnsi="Aptos Display" w:eastAsia="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44ff8"/>
    <w:rPr>
      <w:rFonts w:eastAsia="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044ff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44ff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44ff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44ff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44ff8"/>
    <w:pPr>
      <w:spacing w:before="0" w:after="40"/>
      <w:contextualSpacing/>
    </w:pPr>
    <w:rPr>
      <w:rFonts w:ascii="Aptos Display" w:hAnsi="Aptos Display" w:eastAsia="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f8"/>
    <w:pPr/>
    <w:rPr>
      <w:rFonts w:eastAsia="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4ff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44ff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3</Pages>
  <Words>254</Words>
  <Characters>1395</Characters>
  <CharactersWithSpaces>1636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2026-05-27T02:34:00Z</dcterms:created>
  <dc:creator>Maytas Nateenantasawasd</dc:creator>
  <dc:description/>
  <dc:language>en-US</dc:language>
  <cp:lastModifiedBy/>
  <dcterms:modified xsi:type="dcterms:W3CDTF">2026-08-03T11:10:24Z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