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C5AC" w:themeColor="accent2" w:themeTint="66"/>
  <w:body>
    <w:p w14:paraId="3CB58323" w14:textId="77777777" w:rsidR="00EE5376" w:rsidRPr="00EE5376" w:rsidRDefault="00EE5376" w:rsidP="00EE5376">
      <w:pPr>
        <w:jc w:val="center"/>
        <w:rPr>
          <w:rFonts w:ascii="Arial" w:hAnsi="Arial" w:cs="Arial"/>
          <w:b/>
          <w:bCs/>
          <w:sz w:val="44"/>
          <w:szCs w:val="44"/>
          <w:u w:val="single"/>
        </w:rPr>
      </w:pPr>
      <w:r w:rsidRPr="00EE5376">
        <w:rPr>
          <w:rFonts w:ascii="Arial" w:hAnsi="Arial" w:cs="Arial"/>
          <w:b/>
          <w:bCs/>
          <w:sz w:val="44"/>
          <w:szCs w:val="44"/>
          <w:u w:val="single"/>
        </w:rPr>
        <w:t>TRUCK GROUNDING SYSTEM</w:t>
      </w:r>
    </w:p>
    <w:p w14:paraId="272D27A5" w14:textId="7F1FE051" w:rsidR="005F3A48" w:rsidRDefault="00EE5376" w:rsidP="00EE5376">
      <w:pPr>
        <w:jc w:val="center"/>
        <w:rPr>
          <w:rFonts w:ascii="Arial" w:hAnsi="Arial" w:cs="Arial"/>
          <w:b/>
          <w:bCs/>
          <w:sz w:val="44"/>
          <w:szCs w:val="44"/>
          <w:u w:val="single"/>
        </w:rPr>
      </w:pPr>
      <w:r w:rsidRPr="00EE5376">
        <w:rPr>
          <w:rFonts w:ascii="Arial" w:hAnsi="Arial" w:cs="Arial"/>
          <w:b/>
          <w:bCs/>
          <w:sz w:val="44"/>
          <w:szCs w:val="44"/>
          <w:u w:val="single"/>
        </w:rPr>
        <w:t>STATIC EARTH REEL MONITOR</w:t>
      </w:r>
    </w:p>
    <w:p w14:paraId="76114AC6" w14:textId="77777777" w:rsidR="00EE5376" w:rsidRPr="00EE5376" w:rsidRDefault="00EE5376" w:rsidP="00EE5376">
      <w:pPr>
        <w:jc w:val="center"/>
        <w:rPr>
          <w:rFonts w:ascii="Arial" w:hAnsi="Arial" w:cs="Arial"/>
          <w:sz w:val="44"/>
          <w:szCs w:val="44"/>
          <w:u w:val="single"/>
        </w:rPr>
      </w:pPr>
    </w:p>
    <w:p w14:paraId="239EC159" w14:textId="3A8D97A4" w:rsidR="005D38A0" w:rsidRDefault="005D38A0" w:rsidP="005E5393">
      <w:pPr>
        <w:jc w:val="center"/>
        <w:rPr>
          <w:rFonts w:ascii="Kanit Light" w:hAnsi="Kanit Light" w:cs="Kanit Light"/>
        </w:rPr>
      </w:pPr>
      <w:r w:rsidRPr="005E5393">
        <w:rPr>
          <w:rFonts w:ascii="Kanit Light" w:hAnsi="Kanit Light" w:cs="Kanit Light"/>
          <w:noProof/>
        </w:rPr>
        <w:drawing>
          <wp:inline distT="0" distB="0" distL="0" distR="0" wp14:anchorId="798D87EB" wp14:editId="54257C87">
            <wp:extent cx="6012004" cy="2921000"/>
            <wp:effectExtent l="0" t="0" r="8255" b="0"/>
            <wp:docPr id="41348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40978" t="-1" b="80073"/>
                    <a:stretch>
                      <a:fillRect/>
                    </a:stretch>
                  </pic:blipFill>
                  <pic:spPr bwMode="auto">
                    <a:xfrm>
                      <a:off x="0" y="0"/>
                      <a:ext cx="6041204" cy="2935187"/>
                    </a:xfrm>
                    <a:prstGeom prst="rect">
                      <a:avLst/>
                    </a:prstGeom>
                    <a:noFill/>
                    <a:ln>
                      <a:noFill/>
                    </a:ln>
                    <a:extLst>
                      <a:ext uri="{53640926-AAD7-44D8-BBD7-CCE9431645EC}">
                        <a14:shadowObscured xmlns:a14="http://schemas.microsoft.com/office/drawing/2010/main"/>
                      </a:ext>
                    </a:extLst>
                  </pic:spPr>
                </pic:pic>
              </a:graphicData>
            </a:graphic>
          </wp:inline>
        </w:drawing>
      </w:r>
    </w:p>
    <w:p w14:paraId="7AE83056" w14:textId="77777777" w:rsidR="00EE5376" w:rsidRPr="005E5393" w:rsidRDefault="00EE5376" w:rsidP="005E5393">
      <w:pPr>
        <w:jc w:val="center"/>
        <w:rPr>
          <w:rFonts w:ascii="Kanit Light" w:hAnsi="Kanit Light" w:cs="Kanit Light"/>
        </w:rPr>
      </w:pPr>
    </w:p>
    <w:p w14:paraId="7EB28F26" w14:textId="77777777" w:rsidR="00EE5376" w:rsidRDefault="00EE5376" w:rsidP="00EE5376">
      <w:pPr>
        <w:jc w:val="both"/>
        <w:rPr>
          <w:rFonts w:ascii="Arial" w:hAnsi="Arial" w:cs="Arial"/>
          <w:sz w:val="28"/>
          <w:szCs w:val="28"/>
          <w:lang w:val="en-AE"/>
        </w:rPr>
      </w:pPr>
      <w:proofErr w:type="spellStart"/>
      <w:r w:rsidRPr="00EE5376">
        <w:rPr>
          <w:rFonts w:ascii="Arial" w:hAnsi="Arial" w:cs="Arial"/>
          <w:b/>
          <w:bCs/>
          <w:sz w:val="28"/>
          <w:szCs w:val="28"/>
          <w:lang w:val="en-AE"/>
        </w:rPr>
        <w:t>Kumwell</w:t>
      </w:r>
      <w:proofErr w:type="spellEnd"/>
      <w:r w:rsidRPr="00EE5376">
        <w:rPr>
          <w:rFonts w:ascii="Arial" w:hAnsi="Arial" w:cs="Arial"/>
          <w:b/>
          <w:bCs/>
          <w:sz w:val="28"/>
          <w:szCs w:val="28"/>
          <w:lang w:val="en-AE"/>
        </w:rPr>
        <w:t xml:space="preserve"> GERA-15ME-AEX</w:t>
      </w:r>
      <w:r w:rsidRPr="00EE5376">
        <w:rPr>
          <w:rFonts w:ascii="Arial" w:hAnsi="Arial" w:cs="Arial"/>
          <w:sz w:val="28"/>
          <w:szCs w:val="28"/>
          <w:lang w:val="en-AE"/>
        </w:rPr>
        <w:t xml:space="preserve"> is an advanced static grounding system designed to protect personnel, equipment, and facilities during the transfer of flammable and combustible materials such as petroleum products, chemicals, solvents, ethanol, biofuels</w:t>
      </w:r>
      <w:r>
        <w:rPr>
          <w:rFonts w:ascii="Arial" w:hAnsi="Arial" w:cs="Arial"/>
          <w:sz w:val="28"/>
          <w:szCs w:val="28"/>
          <w:lang w:val="en-AE"/>
        </w:rPr>
        <w:t xml:space="preserve"> </w:t>
      </w:r>
      <w:proofErr w:type="gramStart"/>
      <w:r>
        <w:rPr>
          <w:rFonts w:ascii="Arial" w:hAnsi="Arial" w:cs="Arial"/>
          <w:sz w:val="28"/>
          <w:szCs w:val="28"/>
          <w:lang w:val="en-AE"/>
        </w:rPr>
        <w:t>etc..</w:t>
      </w:r>
      <w:proofErr w:type="gramEnd"/>
      <w:r>
        <w:rPr>
          <w:rFonts w:ascii="Arial" w:hAnsi="Arial" w:cs="Arial"/>
          <w:sz w:val="28"/>
          <w:szCs w:val="28"/>
          <w:lang w:val="en-AE"/>
        </w:rPr>
        <w:t xml:space="preserve"> in hazardous areas. </w:t>
      </w:r>
    </w:p>
    <w:p w14:paraId="5BBED0B5" w14:textId="77777777" w:rsidR="001E2970" w:rsidRDefault="001E2970" w:rsidP="00EE5376">
      <w:pPr>
        <w:jc w:val="both"/>
        <w:rPr>
          <w:rFonts w:ascii="Arial" w:hAnsi="Arial" w:cs="Arial"/>
          <w:b/>
          <w:bCs/>
          <w:sz w:val="28"/>
          <w:szCs w:val="28"/>
        </w:rPr>
      </w:pPr>
    </w:p>
    <w:p w14:paraId="42002256" w14:textId="390A507E" w:rsidR="00EE5376" w:rsidRDefault="00EE5376" w:rsidP="00EE5376">
      <w:pPr>
        <w:jc w:val="both"/>
        <w:rPr>
          <w:rFonts w:ascii="Arial" w:hAnsi="Arial" w:cs="Arial"/>
          <w:sz w:val="28"/>
          <w:szCs w:val="28"/>
          <w:lang w:val="en-AE"/>
        </w:rPr>
      </w:pPr>
      <w:r w:rsidRPr="00EE5376">
        <w:rPr>
          <w:rFonts w:ascii="Arial" w:hAnsi="Arial" w:cs="Arial"/>
          <w:b/>
          <w:bCs/>
          <w:sz w:val="28"/>
          <w:szCs w:val="28"/>
        </w:rPr>
        <w:t>GERA-15ME-AEX</w:t>
      </w:r>
      <w:r w:rsidRPr="00EE5376">
        <w:rPr>
          <w:rFonts w:ascii="Arial" w:hAnsi="Arial" w:cs="Arial"/>
          <w:sz w:val="28"/>
          <w:szCs w:val="28"/>
        </w:rPr>
        <w:t xml:space="preserve"> provides continuous verification of grounding connections during the loading and unloading of flammable and combustible materials. By monitoring the earth path between transport vehicles and ground, it prevents the build-up of hazardous static electricity and reduces the risk of fire or explosion.</w:t>
      </w:r>
    </w:p>
    <w:p w14:paraId="05B03CDA" w14:textId="77777777" w:rsidR="00EE5376" w:rsidRPr="00EE5376" w:rsidRDefault="00EE5376" w:rsidP="00EE5376">
      <w:pPr>
        <w:jc w:val="both"/>
        <w:rPr>
          <w:rFonts w:ascii="Arial" w:hAnsi="Arial" w:cs="Arial"/>
          <w:sz w:val="28"/>
          <w:szCs w:val="28"/>
          <w:lang w:val="en-AE"/>
        </w:rPr>
      </w:pPr>
    </w:p>
    <w:p w14:paraId="7485096E" w14:textId="40C74E0E" w:rsidR="00EE5376" w:rsidRPr="00EE5376" w:rsidRDefault="00EE5376" w:rsidP="00EE5376">
      <w:pPr>
        <w:jc w:val="both"/>
        <w:rPr>
          <w:rFonts w:ascii="Arial" w:hAnsi="Arial" w:cs="Arial"/>
          <w:sz w:val="28"/>
          <w:szCs w:val="28"/>
        </w:rPr>
      </w:pPr>
      <w:r w:rsidRPr="001E2970">
        <w:rPr>
          <w:rFonts w:ascii="Arial" w:hAnsi="Arial" w:cs="Arial"/>
          <w:b/>
          <w:bCs/>
          <w:sz w:val="28"/>
          <w:szCs w:val="28"/>
        </w:rPr>
        <w:t>GERA-15ME-AEX</w:t>
      </w:r>
      <w:r w:rsidRPr="00EE5376">
        <w:rPr>
          <w:rFonts w:ascii="Arial" w:hAnsi="Arial" w:cs="Arial"/>
          <w:sz w:val="28"/>
          <w:szCs w:val="28"/>
        </w:rPr>
        <w:t xml:space="preserve"> offers an efficient and cost-effective solution for </w:t>
      </w:r>
      <w:proofErr w:type="gramStart"/>
      <w:r w:rsidRPr="00EE5376">
        <w:rPr>
          <w:rFonts w:ascii="Arial" w:hAnsi="Arial" w:cs="Arial"/>
          <w:sz w:val="28"/>
          <w:szCs w:val="28"/>
        </w:rPr>
        <w:t>truck</w:t>
      </w:r>
      <w:proofErr w:type="gramEnd"/>
      <w:r w:rsidRPr="00EE5376">
        <w:rPr>
          <w:rFonts w:ascii="Arial" w:hAnsi="Arial" w:cs="Arial"/>
          <w:sz w:val="28"/>
          <w:szCs w:val="28"/>
        </w:rPr>
        <w:t xml:space="preserve">, </w:t>
      </w:r>
      <w:proofErr w:type="gramStart"/>
      <w:r w:rsidRPr="00EE5376">
        <w:rPr>
          <w:rFonts w:ascii="Arial" w:hAnsi="Arial" w:cs="Arial"/>
          <w:sz w:val="28"/>
          <w:szCs w:val="28"/>
        </w:rPr>
        <w:t>tanker</w:t>
      </w:r>
      <w:proofErr w:type="gramEnd"/>
      <w:r w:rsidRPr="00EE5376">
        <w:rPr>
          <w:rFonts w:ascii="Arial" w:hAnsi="Arial" w:cs="Arial"/>
          <w:sz w:val="28"/>
          <w:szCs w:val="28"/>
        </w:rPr>
        <w:t xml:space="preserve">, </w:t>
      </w:r>
      <w:proofErr w:type="gramStart"/>
      <w:r w:rsidRPr="00EE5376">
        <w:rPr>
          <w:rFonts w:ascii="Arial" w:hAnsi="Arial" w:cs="Arial"/>
          <w:sz w:val="28"/>
          <w:szCs w:val="28"/>
        </w:rPr>
        <w:t>railcar</w:t>
      </w:r>
      <w:proofErr w:type="gramEnd"/>
      <w:r w:rsidRPr="00EE5376">
        <w:rPr>
          <w:rFonts w:ascii="Arial" w:hAnsi="Arial" w:cs="Arial"/>
          <w:sz w:val="28"/>
          <w:szCs w:val="28"/>
        </w:rPr>
        <w:t>, and container grounding applications. Its rugged design, simple installation, and low maintenance requirements help minimize operational downtime while enhancing safety compliance. By preventing unsafe loading conditions and reducing the likelihood of costly incidents, the system delivers long-term reliability and a lower total cost of ownership.</w:t>
      </w:r>
    </w:p>
    <w:sectPr w:rsidR="00EE5376" w:rsidRPr="00EE53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Kanit Light">
    <w:altName w:val="Browallia New"/>
    <w:charset w:val="00"/>
    <w:family w:val="auto"/>
    <w:pitch w:val="variable"/>
    <w:sig w:usb0="A10000FF" w:usb1="5000207B" w:usb2="00000000" w:usb3="00000000" w:csb0="0001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F15381"/>
    <w:multiLevelType w:val="hybridMultilevel"/>
    <w:tmpl w:val="CC50B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377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A28"/>
    <w:rsid w:val="001A0680"/>
    <w:rsid w:val="001E2970"/>
    <w:rsid w:val="002064DC"/>
    <w:rsid w:val="00347BA9"/>
    <w:rsid w:val="005D38A0"/>
    <w:rsid w:val="005E5393"/>
    <w:rsid w:val="005F3A48"/>
    <w:rsid w:val="0067462F"/>
    <w:rsid w:val="00766A28"/>
    <w:rsid w:val="007836B3"/>
    <w:rsid w:val="008269AB"/>
    <w:rsid w:val="00D920C1"/>
    <w:rsid w:val="00E67AFD"/>
    <w:rsid w:val="00EE53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F1AD3"/>
  <w15:chartTrackingRefBased/>
  <w15:docId w15:val="{EDB21326-1F77-41C5-8660-108D573A6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A28"/>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66A28"/>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66A28"/>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66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A2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66A2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66A2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66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A28"/>
    <w:rPr>
      <w:rFonts w:eastAsiaTheme="majorEastAsia" w:cstheme="majorBidi"/>
      <w:color w:val="272727" w:themeColor="text1" w:themeTint="D8"/>
    </w:rPr>
  </w:style>
  <w:style w:type="paragraph" w:styleId="Title">
    <w:name w:val="Title"/>
    <w:basedOn w:val="Normal"/>
    <w:next w:val="Normal"/>
    <w:link w:val="TitleChar"/>
    <w:uiPriority w:val="10"/>
    <w:qFormat/>
    <w:rsid w:val="00766A28"/>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66A2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66A2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66A2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66A28"/>
    <w:pPr>
      <w:spacing w:before="160"/>
      <w:jc w:val="center"/>
    </w:pPr>
    <w:rPr>
      <w:i/>
      <w:iCs/>
      <w:color w:val="404040" w:themeColor="text1" w:themeTint="BF"/>
    </w:rPr>
  </w:style>
  <w:style w:type="character" w:customStyle="1" w:styleId="QuoteChar">
    <w:name w:val="Quote Char"/>
    <w:basedOn w:val="DefaultParagraphFont"/>
    <w:link w:val="Quote"/>
    <w:uiPriority w:val="29"/>
    <w:rsid w:val="00766A28"/>
    <w:rPr>
      <w:i/>
      <w:iCs/>
      <w:color w:val="404040" w:themeColor="text1" w:themeTint="BF"/>
    </w:rPr>
  </w:style>
  <w:style w:type="paragraph" w:styleId="ListParagraph">
    <w:name w:val="List Paragraph"/>
    <w:basedOn w:val="Normal"/>
    <w:uiPriority w:val="34"/>
    <w:qFormat/>
    <w:rsid w:val="00766A28"/>
    <w:pPr>
      <w:ind w:left="720"/>
      <w:contextualSpacing/>
    </w:pPr>
  </w:style>
  <w:style w:type="character" w:styleId="IntenseEmphasis">
    <w:name w:val="Intense Emphasis"/>
    <w:basedOn w:val="DefaultParagraphFont"/>
    <w:uiPriority w:val="21"/>
    <w:qFormat/>
    <w:rsid w:val="00766A28"/>
    <w:rPr>
      <w:i/>
      <w:iCs/>
      <w:color w:val="0F4761" w:themeColor="accent1" w:themeShade="BF"/>
    </w:rPr>
  </w:style>
  <w:style w:type="paragraph" w:styleId="IntenseQuote">
    <w:name w:val="Intense Quote"/>
    <w:basedOn w:val="Normal"/>
    <w:next w:val="Normal"/>
    <w:link w:val="IntenseQuoteChar"/>
    <w:uiPriority w:val="30"/>
    <w:qFormat/>
    <w:rsid w:val="00766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A28"/>
    <w:rPr>
      <w:i/>
      <w:iCs/>
      <w:color w:val="0F4761" w:themeColor="accent1" w:themeShade="BF"/>
    </w:rPr>
  </w:style>
  <w:style w:type="character" w:styleId="IntenseReference">
    <w:name w:val="Intense Reference"/>
    <w:basedOn w:val="DefaultParagraphFont"/>
    <w:uiPriority w:val="32"/>
    <w:qFormat/>
    <w:rsid w:val="00766A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150</Words>
  <Characters>928</Characters>
  <Application>Microsoft Office Word</Application>
  <DocSecurity>0</DocSecurity>
  <Lines>13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Maytas Nateenantasawasd</dc:creator>
  <cp:keywords/>
  <dc:description/>
  <cp:lastModifiedBy>M. Madhusudan</cp:lastModifiedBy>
  <cp:revision>8</cp:revision>
  <dcterms:created xsi:type="dcterms:W3CDTF">2026-05-27T07:07:00Z</dcterms:created>
  <dcterms:modified xsi:type="dcterms:W3CDTF">2026-06-07T15:07:00Z</dcterms:modified>
</cp:coreProperties>
</file>