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3F1A9408" w:rsidR="00ED2FD6" w:rsidRPr="00623EAA" w:rsidRDefault="007B5B44" w:rsidP="00B447E3">
      <w:pPr>
        <w:pStyle w:val="Ttulo"/>
      </w:pPr>
      <w:bookmarkStart w:id="0" w:name="_Hlk62551912"/>
      <w:bookmarkEnd w:id="0"/>
      <w:r>
        <w:t xml:space="preserve">Estadísticas universales del </w:t>
      </w:r>
      <w:r w:rsidR="008E0C96">
        <w:t>COVID</w:t>
      </w:r>
      <w:r>
        <w:t>-19 a través del tiempo</w:t>
      </w:r>
    </w:p>
    <w:p w14:paraId="77CA8346" w14:textId="026590A0" w:rsidR="00B447E3" w:rsidRPr="00EA0CA0" w:rsidRDefault="007B5B44" w:rsidP="00B447E3">
      <w:pPr>
        <w:pStyle w:val="Ttulosecundario"/>
      </w:pPr>
      <w:r w:rsidRPr="00623EAA">
        <w:t>Teoría</w:t>
      </w:r>
      <w:r w:rsidR="00B447E3" w:rsidRPr="00EA0CA0">
        <w:t>:</w:t>
      </w:r>
    </w:p>
    <w:p w14:paraId="28D15A83" w14:textId="32F5ED9A" w:rsidR="00AA71F4" w:rsidRDefault="00AA71F4" w:rsidP="0057783A">
      <w:r>
        <w:t xml:space="preserve">A día de hoy todos sabemos perfectamente </w:t>
      </w:r>
      <w:r w:rsidR="00982F73">
        <w:t xml:space="preserve">(o casi) </w:t>
      </w:r>
      <w:r>
        <w:t>qué es el coronavirus COVID-19,</w:t>
      </w:r>
      <w:r w:rsidR="0057783A">
        <w:t xml:space="preserve"> pues lo tenemos en el día a día. Por otro lado, creo que </w:t>
      </w:r>
      <w:r>
        <w:t xml:space="preserve">no está demás un pequeño resumen sobre </w:t>
      </w:r>
      <w:r w:rsidR="0057783A">
        <w:t xml:space="preserve">cómo se ha ido desarrollando el tema a lo largo del tiempo: esta pandemia de COVID-19 es una emergencia sanitaria a nivel mundial que sigue en curso, una pandemia de la enfermedad por coronavirus 2019 causada por el </w:t>
      </w:r>
      <w:r w:rsidR="00CC4A2E">
        <w:t xml:space="preserve">SARS-CoV-2, que viene del inglés </w:t>
      </w:r>
      <w:r w:rsidR="00CC4A2E" w:rsidRPr="00026E42">
        <w:t>“</w:t>
      </w:r>
      <w:r w:rsidR="00CC4A2E" w:rsidRPr="00026E42">
        <w:rPr>
          <w:i/>
          <w:iCs/>
          <w:lang w:val="en-US"/>
        </w:rPr>
        <w:t>Severe Acute Respiratory Syndrome Coronavirus 2</w:t>
      </w:r>
      <w:r w:rsidR="00CC4A2E">
        <w:t xml:space="preserve">”, traducido como </w:t>
      </w:r>
      <w:r w:rsidR="0057783A">
        <w:t>coronavirus del síndrome respiratorio agudo severo 2. Se identificó por primera vez en diciembre de 2019 en Wuhan, China. La Organización Mundial de la Salud declaró el brote como Emergencia de Salud Pública de Preocupación Internacio</w:t>
      </w:r>
      <w:bookmarkStart w:id="1" w:name="_GoBack"/>
      <w:bookmarkEnd w:id="1"/>
      <w:r w:rsidR="0057783A">
        <w:t>nal en enero de 2020 y como pandemia en marzo de</w:t>
      </w:r>
      <w:r w:rsidR="003464CB">
        <w:t>l mismo año</w:t>
      </w:r>
      <w:r w:rsidR="0057783A">
        <w:t>. Hasta el 2</w:t>
      </w:r>
      <w:r w:rsidR="003464CB">
        <w:t>6</w:t>
      </w:r>
      <w:r w:rsidR="0057783A">
        <w:t xml:space="preserve"> de enero de 2021, se han confirmado más de 99 millones de casos, con más de 2 millones de muertes atribuidas a esta enfermedad.</w:t>
      </w:r>
    </w:p>
    <w:p w14:paraId="103DBE07" w14:textId="6BE8EE75" w:rsidR="0057783A" w:rsidRDefault="0057783A" w:rsidP="0057783A">
      <w:r>
        <w:t xml:space="preserve">Los síntomas de COVID-19 son muy variables, y van desde ninguno hasta una enfermedad grave. El virus se propaga principalmente a través del aire cuando las personas están cerca unas de otras. Sale de una persona infectada al respirar, toser, estornudar o hablar y entra en otra persona a través de la boca, la nariz o los ojos; y es por esto que se recomienda el uso de tapabocas, pues dos de la tres principales </w:t>
      </w:r>
      <w:r w:rsidR="00982F73">
        <w:t>vías</w:t>
      </w:r>
      <w:r>
        <w:t xml:space="preserve"> de contagio están cubiertas. También puede propagarse a través de superficies contaminadas; por lo que recomiendan lavarse seguido las manos. Además, las personas siguen siendo infecciosas hasta dos semanas después.</w:t>
      </w:r>
    </w:p>
    <w:p w14:paraId="07F6B149" w14:textId="788D6732" w:rsidR="002A1442" w:rsidRDefault="0073760E" w:rsidP="002A1442">
      <w:r w:rsidRPr="0073760E">
        <w:t>De entre los 41 primeros casos de COVID-19 que fueron tratados en hospitales de Wuhan, trece (32 %) necesitaron cuidados intensivos y seis (15 %) murieron. Muchos de los que fallecieron presentaban patologías previas como hipertensión arterial, diabetes o enfermedad cardiovascular que debilitaban sus sistemas inmunológicos.</w:t>
      </w:r>
      <w:r>
        <w:t xml:space="preserve"> </w:t>
      </w:r>
      <w:r w:rsidRPr="0073760E">
        <w:t xml:space="preserve">En estos casos tempranos que acabaron en fallecimiento, la media de la duración de la enfermedad fue de catorce días y el rango total fue de 6 a 41 </w:t>
      </w:r>
      <w:r w:rsidR="009F4CA9" w:rsidRPr="0073760E">
        <w:t xml:space="preserve">días. </w:t>
      </w:r>
      <w:r w:rsidRPr="0073760E">
        <w:t>De los casos confirmados, 80,9 % fueron clasificados como casos leves. ​</w:t>
      </w:r>
    </w:p>
    <w:p w14:paraId="45A8B62E" w14:textId="3578A9DE" w:rsidR="009F4CA9" w:rsidRDefault="002A1442" w:rsidP="002A1442">
      <w:r w:rsidRPr="002343E4">
        <w:t xml:space="preserve">Al menos el 10% de la población mundial ya pudo haber contraído </w:t>
      </w:r>
      <w:r>
        <w:t xml:space="preserve">COVID-19 </w:t>
      </w:r>
      <w:r w:rsidRPr="002343E4">
        <w:t>hacia finales de 2020</w:t>
      </w:r>
      <w:r>
        <w:t>, esto sumando el factor de no haber sido reportados el 100% de los casos, pues personas que se contagiaron y fueron asintomáticas pudieron nunca haberse dado cuenta y, por lo tanto, no haberse tomado en cuenta.</w:t>
      </w:r>
    </w:p>
    <w:p w14:paraId="66229E69" w14:textId="382D4E2F" w:rsidR="00DA524E" w:rsidRDefault="00DA524E" w:rsidP="002A1442">
      <w:r>
        <w:t>Desde que el 11 de marzo del año pasado la Organización Mundial de la Salud (OMS para abreviar, WHO en inglés), el número de casos diarios, semanales y mensuales no ha dejado de aumentar; han sido pocas las ocasiones en las que el promedio de casos nuevos ha sido más bajo que el anterior registro, en contraste con los altísimos picos que podemos apreciar en la curva.</w:t>
      </w:r>
    </w:p>
    <w:p w14:paraId="5570DFFB" w14:textId="7B11029C" w:rsidR="002A1442" w:rsidRDefault="00DA524E" w:rsidP="002A1442">
      <w:r>
        <w:lastRenderedPageBreak/>
        <w:t>En este caso, esta gráfica muestra, divididos por meses desde marzo, el promedio de muertes y casos nuevos de COVID-19, es decir, el valor medio de casos diarios ese mes. Hay tres picos importantes que destacar: el primero, bastante menos pronunciado</w:t>
      </w:r>
      <w:r w:rsidR="005B5A67">
        <w:t xml:space="preserve"> que los demás</w:t>
      </w:r>
      <w:r>
        <w:t>, en jul</w:t>
      </w:r>
      <w:r w:rsidR="005B5A67">
        <w:t>i</w:t>
      </w:r>
      <w:r>
        <w:t>o de 2020</w:t>
      </w:r>
      <w:r w:rsidR="005B5A67">
        <w:t>, cuyo promedio sube unos 150 mil casos diarios</w:t>
      </w:r>
      <w:r>
        <w:t xml:space="preserve">; el segundo, </w:t>
      </w:r>
      <w:r w:rsidR="005B5A67">
        <w:t xml:space="preserve">visto en octubre, representa </w:t>
      </w:r>
      <w:r>
        <w:t>un aumento masivo</w:t>
      </w:r>
      <w:r w:rsidR="005B5A67">
        <w:t xml:space="preserve"> desde el último mes, pues en septiembre la cifra se encuentra cerca de 300 mil casos y sube a casi 600 mil; por último, tenemos el pico del mes de diciembre que, a pesar de no mostrar un aumento tan grande como el anterior, representa el mayor promedio de casos diarios registrados hasta la fecha, con unos abismales 700 mil casos.</w:t>
      </w:r>
    </w:p>
    <w:p w14:paraId="569E23B7" w14:textId="6FF69811" w:rsidR="005B5A67" w:rsidRDefault="005B5A67" w:rsidP="002A1442">
      <w:r>
        <w:t>¿Quién sabe decirme</w:t>
      </w:r>
      <w:r w:rsidR="00C81F17">
        <w:t xml:space="preserve"> por qué en diciembre se reportaron tantos casos nuevos</w:t>
      </w:r>
      <w:r>
        <w:t>?</w:t>
      </w:r>
    </w:p>
    <w:p w14:paraId="6234B025" w14:textId="34845597" w:rsidR="00C81F17" w:rsidRPr="002A1442" w:rsidRDefault="00C81F17" w:rsidP="002A1442">
      <w:r>
        <w:t xml:space="preserve">Así es, por las festividades de Navidad y año nuevo en las que, a pesar de estar avisados, las personas celebraron como si este fuese un año como cualquier otro, dando resultado a un aumento gigantesco en </w:t>
      </w:r>
      <w:r w:rsidR="009F4CA9">
        <w:t>el</w:t>
      </w:r>
      <w:r>
        <w:t xml:space="preserve"> número de contagios, y esto a su vez provocó la muerte de muchas personas, no solo de los que fueron irresponsables, sino que de sus familiares también.</w:t>
      </w:r>
    </w:p>
    <w:p w14:paraId="280A5EC3" w14:textId="7297ABF8" w:rsidR="00137005" w:rsidRPr="00997F45" w:rsidRDefault="00675553" w:rsidP="00137005">
      <w:pPr>
        <w:pStyle w:val="Ttulosecundario"/>
      </w:pPr>
      <w:r w:rsidRPr="004B0164">
        <w:t>Gráficas</w:t>
      </w:r>
      <w:r w:rsidR="00137005" w:rsidRPr="00997F45">
        <w:t>:</w:t>
      </w:r>
    </w:p>
    <w:p w14:paraId="7EBB9E58" w14:textId="77777777" w:rsidR="006A5BF0" w:rsidRDefault="00136F16" w:rsidP="006A5BF0">
      <w:pPr>
        <w:rPr>
          <w:i/>
          <w:iCs/>
          <w:color w:val="7F7F7F" w:themeColor="text1" w:themeTint="80"/>
          <w:sz w:val="20"/>
          <w:szCs w:val="20"/>
        </w:rPr>
      </w:pPr>
      <w:r w:rsidRPr="00136F16">
        <w:rPr>
          <w:i/>
          <w:iCs/>
          <w:color w:val="7F7F7F" w:themeColor="text1" w:themeTint="80"/>
          <w:sz w:val="20"/>
          <w:szCs w:val="20"/>
        </w:rPr>
        <w:t>*(Datos consultados el 2</w:t>
      </w:r>
      <w:r w:rsidR="008045A3">
        <w:rPr>
          <w:i/>
          <w:iCs/>
          <w:color w:val="7F7F7F" w:themeColor="text1" w:themeTint="80"/>
          <w:sz w:val="20"/>
          <w:szCs w:val="20"/>
        </w:rPr>
        <w:t>6</w:t>
      </w:r>
      <w:r w:rsidRPr="00136F16">
        <w:rPr>
          <w:i/>
          <w:iCs/>
          <w:color w:val="7F7F7F" w:themeColor="text1" w:themeTint="80"/>
          <w:sz w:val="20"/>
          <w:szCs w:val="20"/>
        </w:rPr>
        <w:t xml:space="preserve"> de enero de 2021)</w:t>
      </w:r>
    </w:p>
    <w:p w14:paraId="3FAD4E9E" w14:textId="02F7FD43" w:rsidR="00136F16" w:rsidRDefault="006A5BF0" w:rsidP="006A5BF0">
      <w:pPr>
        <w:jc w:val="center"/>
        <w:rPr>
          <w:noProof/>
        </w:rPr>
      </w:pPr>
      <w:r>
        <w:rPr>
          <w:noProof/>
        </w:rPr>
        <w:drawing>
          <wp:inline distT="0" distB="0" distL="0" distR="0" wp14:anchorId="408ADEA9" wp14:editId="3548AE3A">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634C02" w14:textId="77777777" w:rsidR="006A5BF0" w:rsidRPr="00E50491" w:rsidRDefault="006A5BF0" w:rsidP="006A5BF0">
      <w:pPr>
        <w:jc w:val="center"/>
        <w:rPr>
          <w:lang w:val="en-US"/>
        </w:rPr>
      </w:pPr>
      <w:r w:rsidRPr="00E50491">
        <w:rPr>
          <w:i/>
          <w:iCs/>
          <w:color w:val="7F7F7F" w:themeColor="text1" w:themeTint="80"/>
          <w:sz w:val="20"/>
          <w:szCs w:val="20"/>
          <w:lang w:val="en-US"/>
        </w:rPr>
        <w:t xml:space="preserve">Fuente: </w:t>
      </w:r>
      <w:r>
        <w:rPr>
          <w:i/>
          <w:iCs/>
          <w:color w:val="7F7F7F" w:themeColor="text1" w:themeTint="80"/>
          <w:sz w:val="20"/>
          <w:szCs w:val="20"/>
          <w:lang w:val="en-US"/>
        </w:rPr>
        <w:t>Google (</w:t>
      </w:r>
      <w:r w:rsidRPr="004B0164">
        <w:rPr>
          <w:i/>
          <w:iCs/>
          <w:color w:val="7F7F7F" w:themeColor="text1" w:themeTint="80"/>
          <w:sz w:val="20"/>
          <w:szCs w:val="20"/>
          <w:lang w:val="en-US"/>
        </w:rPr>
        <w:t>news.google.com/covid19/map</w:t>
      </w:r>
      <w:r>
        <w:rPr>
          <w:i/>
          <w:iCs/>
          <w:color w:val="7F7F7F" w:themeColor="text1" w:themeTint="80"/>
          <w:sz w:val="20"/>
          <w:szCs w:val="20"/>
          <w:lang w:val="en-US"/>
        </w:rPr>
        <w:t>)</w:t>
      </w:r>
    </w:p>
    <w:p w14:paraId="57D694A4" w14:textId="4330D724" w:rsidR="006A5BF0" w:rsidRDefault="006A5BF0" w:rsidP="006A5BF0">
      <w:pPr>
        <w:jc w:val="center"/>
        <w:rPr>
          <w:i/>
          <w:iCs/>
          <w:color w:val="7F7F7F" w:themeColor="text1" w:themeTint="80"/>
          <w:sz w:val="20"/>
          <w:szCs w:val="20"/>
          <w:lang w:val="en-US"/>
        </w:rPr>
      </w:pPr>
      <w:r>
        <w:rPr>
          <w:noProof/>
        </w:rPr>
        <w:lastRenderedPageBreak/>
        <w:drawing>
          <wp:inline distT="0" distB="0" distL="0" distR="0" wp14:anchorId="0BC1A1FC" wp14:editId="1E700449">
            <wp:extent cx="413385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BA61EF" w14:textId="1ED810B9" w:rsidR="006A5BF0" w:rsidRPr="006A5BF0" w:rsidRDefault="006A5BF0" w:rsidP="006A5BF0">
      <w:pPr>
        <w:jc w:val="center"/>
        <w:rPr>
          <w:i/>
          <w:iCs/>
          <w:color w:val="7F7F7F" w:themeColor="text1" w:themeTint="80"/>
          <w:sz w:val="20"/>
          <w:szCs w:val="20"/>
          <w:lang w:val="en-US"/>
        </w:rPr>
      </w:pPr>
      <w:r w:rsidRPr="00E50491">
        <w:rPr>
          <w:i/>
          <w:iCs/>
          <w:color w:val="7F7F7F" w:themeColor="text1" w:themeTint="80"/>
          <w:sz w:val="20"/>
          <w:szCs w:val="20"/>
          <w:lang w:val="en-US"/>
        </w:rPr>
        <w:t xml:space="preserve">Fuente: Johns Hopkins </w:t>
      </w:r>
      <w:r>
        <w:rPr>
          <w:i/>
          <w:iCs/>
          <w:color w:val="7F7F7F" w:themeColor="text1" w:themeTint="80"/>
          <w:sz w:val="20"/>
          <w:szCs w:val="20"/>
          <w:lang w:val="en-US"/>
        </w:rPr>
        <w:t xml:space="preserve">University </w:t>
      </w:r>
      <w:r w:rsidRPr="00E50491">
        <w:rPr>
          <w:i/>
          <w:iCs/>
          <w:color w:val="7F7F7F" w:themeColor="text1" w:themeTint="80"/>
          <w:sz w:val="20"/>
          <w:szCs w:val="20"/>
          <w:lang w:val="en-US"/>
        </w:rPr>
        <w:t>Coronavirus R</w:t>
      </w:r>
      <w:r>
        <w:rPr>
          <w:i/>
          <w:iCs/>
          <w:color w:val="7F7F7F" w:themeColor="text1" w:themeTint="80"/>
          <w:sz w:val="20"/>
          <w:szCs w:val="20"/>
          <w:lang w:val="en-US"/>
        </w:rPr>
        <w:t>esource Center (</w:t>
      </w:r>
      <w:r w:rsidRPr="00E50491">
        <w:rPr>
          <w:i/>
          <w:iCs/>
          <w:color w:val="7F7F7F" w:themeColor="text1" w:themeTint="80"/>
          <w:sz w:val="20"/>
          <w:szCs w:val="20"/>
          <w:lang w:val="en-US"/>
        </w:rPr>
        <w:t>coronavirus.jhu.edu</w:t>
      </w:r>
      <w:r>
        <w:rPr>
          <w:i/>
          <w:iCs/>
          <w:color w:val="7F7F7F" w:themeColor="text1" w:themeTint="80"/>
          <w:sz w:val="20"/>
          <w:szCs w:val="20"/>
          <w:lang w:val="en-US"/>
        </w:rPr>
        <w:t>)</w:t>
      </w:r>
    </w:p>
    <w:p w14:paraId="02B73B4B" w14:textId="77777777" w:rsidR="006A5BF0" w:rsidRDefault="00423595" w:rsidP="006A5BF0">
      <w:pPr>
        <w:jc w:val="center"/>
        <w:rPr>
          <w:i/>
          <w:iCs/>
          <w:color w:val="7F7F7F" w:themeColor="text1" w:themeTint="80"/>
          <w:sz w:val="20"/>
          <w:szCs w:val="20"/>
        </w:rPr>
      </w:pPr>
      <w:r>
        <w:rPr>
          <w:noProof/>
        </w:rPr>
        <w:drawing>
          <wp:inline distT="0" distB="0" distL="0" distR="0" wp14:anchorId="78334473" wp14:editId="2DDE2534">
            <wp:extent cx="4829175"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0A9662" w14:textId="4A6A70E1" w:rsidR="00AC76D0" w:rsidRPr="006A5BF0" w:rsidRDefault="004B0164" w:rsidP="006A5BF0">
      <w:pPr>
        <w:jc w:val="center"/>
        <w:rPr>
          <w:i/>
          <w:iCs/>
          <w:color w:val="7F7F7F" w:themeColor="text1" w:themeTint="80"/>
          <w:sz w:val="20"/>
          <w:szCs w:val="20"/>
          <w:lang w:val="en-US"/>
        </w:rPr>
      </w:pPr>
      <w:r w:rsidRPr="00E50491">
        <w:rPr>
          <w:i/>
          <w:iCs/>
          <w:color w:val="7F7F7F" w:themeColor="text1" w:themeTint="80"/>
          <w:sz w:val="20"/>
          <w:szCs w:val="20"/>
          <w:lang w:val="en-US"/>
        </w:rPr>
        <w:t xml:space="preserve">Fuente: Johns Hopkins </w:t>
      </w:r>
      <w:r>
        <w:rPr>
          <w:i/>
          <w:iCs/>
          <w:color w:val="7F7F7F" w:themeColor="text1" w:themeTint="80"/>
          <w:sz w:val="20"/>
          <w:szCs w:val="20"/>
          <w:lang w:val="en-US"/>
        </w:rPr>
        <w:t xml:space="preserve">University </w:t>
      </w:r>
      <w:r w:rsidRPr="00E50491">
        <w:rPr>
          <w:i/>
          <w:iCs/>
          <w:color w:val="7F7F7F" w:themeColor="text1" w:themeTint="80"/>
          <w:sz w:val="20"/>
          <w:szCs w:val="20"/>
          <w:lang w:val="en-US"/>
        </w:rPr>
        <w:t>Coronavirus R</w:t>
      </w:r>
      <w:r>
        <w:rPr>
          <w:i/>
          <w:iCs/>
          <w:color w:val="7F7F7F" w:themeColor="text1" w:themeTint="80"/>
          <w:sz w:val="20"/>
          <w:szCs w:val="20"/>
          <w:lang w:val="en-US"/>
        </w:rPr>
        <w:t>esource Center (</w:t>
      </w:r>
      <w:r w:rsidRPr="00E50491">
        <w:rPr>
          <w:i/>
          <w:iCs/>
          <w:color w:val="7F7F7F" w:themeColor="text1" w:themeTint="80"/>
          <w:sz w:val="20"/>
          <w:szCs w:val="20"/>
          <w:lang w:val="en-US"/>
        </w:rPr>
        <w:t>coronavirus.jhu.edu</w:t>
      </w:r>
      <w:r>
        <w:rPr>
          <w:i/>
          <w:iCs/>
          <w:color w:val="7F7F7F" w:themeColor="text1" w:themeTint="80"/>
          <w:sz w:val="20"/>
          <w:szCs w:val="20"/>
          <w:lang w:val="en-US"/>
        </w:rPr>
        <w:t>)</w:t>
      </w:r>
    </w:p>
    <w:p w14:paraId="42115947" w14:textId="70795043" w:rsidR="00E50491" w:rsidRPr="006A5BF0" w:rsidRDefault="00900443" w:rsidP="006A5BF0">
      <w:pPr>
        <w:jc w:val="center"/>
        <w:rPr>
          <w:i/>
          <w:iCs/>
          <w:color w:val="7F7F7F" w:themeColor="text1" w:themeTint="80"/>
          <w:sz w:val="20"/>
          <w:szCs w:val="20"/>
          <w:lang w:val="en-US"/>
        </w:rPr>
      </w:pPr>
      <w:r>
        <w:rPr>
          <w:noProof/>
        </w:rPr>
        <w:lastRenderedPageBreak/>
        <w:drawing>
          <wp:inline distT="0" distB="0" distL="0" distR="0" wp14:anchorId="5BA24E91" wp14:editId="1E7D290B">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E50491" w:rsidRPr="00E50491">
        <w:rPr>
          <w:i/>
          <w:iCs/>
          <w:color w:val="7F7F7F" w:themeColor="text1" w:themeTint="80"/>
          <w:sz w:val="20"/>
          <w:szCs w:val="20"/>
          <w:lang w:val="en-US"/>
        </w:rPr>
        <w:t xml:space="preserve"> </w:t>
      </w:r>
    </w:p>
    <w:p w14:paraId="163E38EE" w14:textId="2D60210E" w:rsidR="004B0164" w:rsidRPr="00E50491" w:rsidRDefault="004B0164" w:rsidP="00136F16">
      <w:pPr>
        <w:jc w:val="center"/>
        <w:rPr>
          <w:lang w:val="en-US"/>
        </w:rPr>
      </w:pPr>
      <w:r w:rsidRPr="00E50491">
        <w:rPr>
          <w:i/>
          <w:iCs/>
          <w:color w:val="7F7F7F" w:themeColor="text1" w:themeTint="80"/>
          <w:sz w:val="20"/>
          <w:szCs w:val="20"/>
          <w:lang w:val="en-US"/>
        </w:rPr>
        <w:t xml:space="preserve">Fuente: </w:t>
      </w:r>
      <w:r>
        <w:rPr>
          <w:i/>
          <w:iCs/>
          <w:color w:val="7F7F7F" w:themeColor="text1" w:themeTint="80"/>
          <w:sz w:val="20"/>
          <w:szCs w:val="20"/>
          <w:lang w:val="en-US"/>
        </w:rPr>
        <w:t>Google (</w:t>
      </w:r>
      <w:r w:rsidRPr="004B0164">
        <w:rPr>
          <w:i/>
          <w:iCs/>
          <w:color w:val="7F7F7F" w:themeColor="text1" w:themeTint="80"/>
          <w:sz w:val="20"/>
          <w:szCs w:val="20"/>
          <w:lang w:val="en-US"/>
        </w:rPr>
        <w:t>news.google.com/covid19/map</w:t>
      </w:r>
      <w:r>
        <w:rPr>
          <w:i/>
          <w:iCs/>
          <w:color w:val="7F7F7F" w:themeColor="text1" w:themeTint="80"/>
          <w:sz w:val="20"/>
          <w:szCs w:val="20"/>
          <w:lang w:val="en-US"/>
        </w:rPr>
        <w:t>)</w:t>
      </w:r>
    </w:p>
    <w:p w14:paraId="1D733789" w14:textId="22C07816" w:rsidR="0042283E" w:rsidRDefault="0042283E" w:rsidP="00136F16">
      <w:pPr>
        <w:jc w:val="center"/>
      </w:pPr>
      <w:r>
        <w:rPr>
          <w:noProof/>
        </w:rPr>
        <w:drawing>
          <wp:inline distT="0" distB="0" distL="0" distR="0" wp14:anchorId="7E3B36C6" wp14:editId="3EDDD0BF">
            <wp:extent cx="4800600" cy="341947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EE9242" w14:textId="79091A17" w:rsidR="004B0164" w:rsidRPr="006A5BF0" w:rsidRDefault="004B0164" w:rsidP="006A5BF0">
      <w:pPr>
        <w:jc w:val="center"/>
        <w:rPr>
          <w:i/>
          <w:iCs/>
          <w:color w:val="7F7F7F" w:themeColor="text1" w:themeTint="80"/>
          <w:sz w:val="20"/>
          <w:szCs w:val="20"/>
          <w:lang w:val="en-US"/>
        </w:rPr>
      </w:pPr>
      <w:r w:rsidRPr="00E50491">
        <w:rPr>
          <w:i/>
          <w:iCs/>
          <w:color w:val="7F7F7F" w:themeColor="text1" w:themeTint="80"/>
          <w:sz w:val="20"/>
          <w:szCs w:val="20"/>
          <w:lang w:val="en-US"/>
        </w:rPr>
        <w:t xml:space="preserve">Fuente: </w:t>
      </w:r>
      <w:r w:rsidR="00AC76D0">
        <w:rPr>
          <w:i/>
          <w:iCs/>
          <w:color w:val="7F7F7F" w:themeColor="text1" w:themeTint="80"/>
          <w:sz w:val="20"/>
          <w:szCs w:val="20"/>
          <w:lang w:val="en-US"/>
        </w:rPr>
        <w:t>Worldometer</w:t>
      </w:r>
      <w:r>
        <w:rPr>
          <w:i/>
          <w:iCs/>
          <w:color w:val="7F7F7F" w:themeColor="text1" w:themeTint="80"/>
          <w:sz w:val="20"/>
          <w:szCs w:val="20"/>
          <w:lang w:val="en-US"/>
        </w:rPr>
        <w:t xml:space="preserve"> (</w:t>
      </w:r>
      <w:r w:rsidR="00AC76D0" w:rsidRPr="00AC76D0">
        <w:rPr>
          <w:i/>
          <w:iCs/>
          <w:color w:val="7F7F7F" w:themeColor="text1" w:themeTint="80"/>
          <w:sz w:val="20"/>
          <w:szCs w:val="20"/>
          <w:lang w:val="en-US"/>
        </w:rPr>
        <w:t>https://www.worldometers.info/coronavirus/</w:t>
      </w:r>
      <w:r>
        <w:rPr>
          <w:i/>
          <w:iCs/>
          <w:color w:val="7F7F7F" w:themeColor="text1" w:themeTint="80"/>
          <w:sz w:val="20"/>
          <w:szCs w:val="20"/>
          <w:lang w:val="en-US"/>
        </w:rPr>
        <w:t>)</w:t>
      </w:r>
    </w:p>
    <w:p w14:paraId="7CB18988" w14:textId="096D9AA3" w:rsidR="00423595" w:rsidRDefault="00423595" w:rsidP="00E50491">
      <w:pPr>
        <w:jc w:val="center"/>
      </w:pPr>
      <w:r>
        <w:rPr>
          <w:noProof/>
        </w:rPr>
        <w:lastRenderedPageBreak/>
        <w:drawing>
          <wp:inline distT="0" distB="0" distL="0" distR="0" wp14:anchorId="2351BE06" wp14:editId="5349E66E">
            <wp:extent cx="48006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489DE5" w14:textId="01EF806B" w:rsidR="00423595" w:rsidRPr="004B0164" w:rsidRDefault="004B0164" w:rsidP="004B0164">
      <w:pPr>
        <w:jc w:val="center"/>
        <w:rPr>
          <w:lang w:val="en-US"/>
        </w:rPr>
      </w:pPr>
      <w:r w:rsidRPr="00E50491">
        <w:rPr>
          <w:i/>
          <w:iCs/>
          <w:color w:val="7F7F7F" w:themeColor="text1" w:themeTint="80"/>
          <w:sz w:val="20"/>
          <w:szCs w:val="20"/>
          <w:lang w:val="en-US"/>
        </w:rPr>
        <w:t>Fuente: Johns Hopkins Coronavirus R</w:t>
      </w:r>
      <w:r>
        <w:rPr>
          <w:i/>
          <w:iCs/>
          <w:color w:val="7F7F7F" w:themeColor="text1" w:themeTint="80"/>
          <w:sz w:val="20"/>
          <w:szCs w:val="20"/>
          <w:lang w:val="en-US"/>
        </w:rPr>
        <w:t>esource Center (</w:t>
      </w:r>
      <w:r w:rsidRPr="00E50491">
        <w:rPr>
          <w:i/>
          <w:iCs/>
          <w:color w:val="7F7F7F" w:themeColor="text1" w:themeTint="80"/>
          <w:sz w:val="20"/>
          <w:szCs w:val="20"/>
          <w:lang w:val="en-US"/>
        </w:rPr>
        <w:t>coronavirus.jhu.edu</w:t>
      </w:r>
      <w:r>
        <w:rPr>
          <w:i/>
          <w:iCs/>
          <w:color w:val="7F7F7F" w:themeColor="text1" w:themeTint="80"/>
          <w:sz w:val="20"/>
          <w:szCs w:val="20"/>
          <w:lang w:val="en-US"/>
        </w:rPr>
        <w:t>)</w:t>
      </w:r>
    </w:p>
    <w:sectPr w:rsidR="00423595" w:rsidRPr="004B0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11872"/>
    <w:rsid w:val="00026E42"/>
    <w:rsid w:val="00057A6A"/>
    <w:rsid w:val="000D08C0"/>
    <w:rsid w:val="000D2331"/>
    <w:rsid w:val="0012632B"/>
    <w:rsid w:val="00136F16"/>
    <w:rsid w:val="00137005"/>
    <w:rsid w:val="0019672A"/>
    <w:rsid w:val="001B4A67"/>
    <w:rsid w:val="002343E4"/>
    <w:rsid w:val="002577D9"/>
    <w:rsid w:val="00270321"/>
    <w:rsid w:val="00276E32"/>
    <w:rsid w:val="00291E67"/>
    <w:rsid w:val="002A1442"/>
    <w:rsid w:val="002A2EA3"/>
    <w:rsid w:val="00331A03"/>
    <w:rsid w:val="003463A4"/>
    <w:rsid w:val="003464CB"/>
    <w:rsid w:val="003620F6"/>
    <w:rsid w:val="004158E0"/>
    <w:rsid w:val="0042283E"/>
    <w:rsid w:val="00423595"/>
    <w:rsid w:val="00430E93"/>
    <w:rsid w:val="004912EA"/>
    <w:rsid w:val="004A3E40"/>
    <w:rsid w:val="004B0164"/>
    <w:rsid w:val="0057783A"/>
    <w:rsid w:val="005B5A67"/>
    <w:rsid w:val="00623EAA"/>
    <w:rsid w:val="0063237E"/>
    <w:rsid w:val="0064514E"/>
    <w:rsid w:val="00675553"/>
    <w:rsid w:val="00696F98"/>
    <w:rsid w:val="006A5BF0"/>
    <w:rsid w:val="006D3F6D"/>
    <w:rsid w:val="006D5273"/>
    <w:rsid w:val="006E34E7"/>
    <w:rsid w:val="006F0704"/>
    <w:rsid w:val="0072651F"/>
    <w:rsid w:val="0073760E"/>
    <w:rsid w:val="00762FF7"/>
    <w:rsid w:val="00767FB8"/>
    <w:rsid w:val="007B5B44"/>
    <w:rsid w:val="007E06F4"/>
    <w:rsid w:val="00803A58"/>
    <w:rsid w:val="008045A3"/>
    <w:rsid w:val="008E0C96"/>
    <w:rsid w:val="00900443"/>
    <w:rsid w:val="0096156E"/>
    <w:rsid w:val="00982F73"/>
    <w:rsid w:val="00986AFC"/>
    <w:rsid w:val="00997F45"/>
    <w:rsid w:val="009E2B38"/>
    <w:rsid w:val="009F4CA9"/>
    <w:rsid w:val="00AA71F4"/>
    <w:rsid w:val="00AC76D0"/>
    <w:rsid w:val="00B447E3"/>
    <w:rsid w:val="00C00588"/>
    <w:rsid w:val="00C33828"/>
    <w:rsid w:val="00C81F17"/>
    <w:rsid w:val="00CC4A2E"/>
    <w:rsid w:val="00D31006"/>
    <w:rsid w:val="00DA524E"/>
    <w:rsid w:val="00DD539E"/>
    <w:rsid w:val="00E43E88"/>
    <w:rsid w:val="00E50491"/>
    <w:rsid w:val="00EA0CA0"/>
    <w:rsid w:val="00EA6EC7"/>
    <w:rsid w:val="00ED2FD6"/>
    <w:rsid w:val="00ED7F64"/>
    <w:rsid w:val="00EF5072"/>
    <w:rsid w:val="00F527B1"/>
    <w:rsid w:val="00F62464"/>
    <w:rsid w:val="00FA038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EA925468-F69F-4AE2-A36C-AD0B9203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BF8F00"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7F5F0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BF8F00"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BF8F00"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7F5F00"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42283E"/>
    <w:rPr>
      <w:color w:val="0000FF"/>
      <w:u w:val="single"/>
    </w:rPr>
  </w:style>
  <w:style w:type="character" w:styleId="Mencinsinresolver">
    <w:name w:val="Unresolved Mention"/>
    <w:basedOn w:val="Fuentedeprrafopredeter"/>
    <w:uiPriority w:val="99"/>
    <w:semiHidden/>
    <w:unhideWhenUsed/>
    <w:rsid w:val="00696F98"/>
    <w:rPr>
      <w:color w:val="605E5C"/>
      <w:shd w:val="clear" w:color="auto" w:fill="E1DFDD"/>
    </w:rPr>
  </w:style>
  <w:style w:type="paragraph" w:styleId="NormalWeb">
    <w:name w:val="Normal (Web)"/>
    <w:basedOn w:val="Normal"/>
    <w:uiPriority w:val="99"/>
    <w:unhideWhenUsed/>
    <w:rsid w:val="002343E4"/>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16548">
      <w:bodyDiv w:val="1"/>
      <w:marLeft w:val="0"/>
      <w:marRight w:val="0"/>
      <w:marTop w:val="0"/>
      <w:marBottom w:val="0"/>
      <w:divBdr>
        <w:top w:val="none" w:sz="0" w:space="0" w:color="auto"/>
        <w:left w:val="none" w:sz="0" w:space="0" w:color="auto"/>
        <w:bottom w:val="none" w:sz="0" w:space="0" w:color="auto"/>
        <w:right w:val="none" w:sz="0" w:space="0" w:color="auto"/>
      </w:divBdr>
    </w:div>
    <w:div w:id="431164246">
      <w:bodyDiv w:val="1"/>
      <w:marLeft w:val="0"/>
      <w:marRight w:val="0"/>
      <w:marTop w:val="0"/>
      <w:marBottom w:val="0"/>
      <w:divBdr>
        <w:top w:val="none" w:sz="0" w:space="0" w:color="auto"/>
        <w:left w:val="none" w:sz="0" w:space="0" w:color="auto"/>
        <w:bottom w:val="none" w:sz="0" w:space="0" w:color="auto"/>
        <w:right w:val="none" w:sz="0" w:space="0" w:color="auto"/>
      </w:divBdr>
      <w:divsChild>
        <w:div w:id="114452628">
          <w:marLeft w:val="0"/>
          <w:marRight w:val="0"/>
          <w:marTop w:val="0"/>
          <w:marBottom w:val="0"/>
          <w:divBdr>
            <w:top w:val="none" w:sz="0" w:space="0" w:color="auto"/>
            <w:left w:val="none" w:sz="0" w:space="0" w:color="auto"/>
            <w:bottom w:val="none" w:sz="0" w:space="0" w:color="auto"/>
            <w:right w:val="none" w:sz="0" w:space="0" w:color="auto"/>
          </w:divBdr>
        </w:div>
        <w:div w:id="547573672">
          <w:marLeft w:val="0"/>
          <w:marRight w:val="0"/>
          <w:marTop w:val="0"/>
          <w:marBottom w:val="0"/>
          <w:divBdr>
            <w:top w:val="none" w:sz="0" w:space="0" w:color="auto"/>
            <w:left w:val="none" w:sz="0" w:space="0" w:color="auto"/>
            <w:bottom w:val="none" w:sz="0" w:space="0" w:color="auto"/>
            <w:right w:val="none" w:sz="0" w:space="0" w:color="auto"/>
          </w:divBdr>
        </w:div>
      </w:divsChild>
    </w:div>
    <w:div w:id="589461380">
      <w:bodyDiv w:val="1"/>
      <w:marLeft w:val="0"/>
      <w:marRight w:val="0"/>
      <w:marTop w:val="0"/>
      <w:marBottom w:val="0"/>
      <w:divBdr>
        <w:top w:val="none" w:sz="0" w:space="0" w:color="auto"/>
        <w:left w:val="none" w:sz="0" w:space="0" w:color="auto"/>
        <w:bottom w:val="none" w:sz="0" w:space="0" w:color="auto"/>
        <w:right w:val="none" w:sz="0" w:space="0" w:color="auto"/>
      </w:divBdr>
    </w:div>
    <w:div w:id="665132346">
      <w:bodyDiv w:val="1"/>
      <w:marLeft w:val="0"/>
      <w:marRight w:val="0"/>
      <w:marTop w:val="0"/>
      <w:marBottom w:val="0"/>
      <w:divBdr>
        <w:top w:val="none" w:sz="0" w:space="0" w:color="auto"/>
        <w:left w:val="none" w:sz="0" w:space="0" w:color="auto"/>
        <w:bottom w:val="none" w:sz="0" w:space="0" w:color="auto"/>
        <w:right w:val="none" w:sz="0" w:space="0" w:color="auto"/>
      </w:divBdr>
    </w:div>
    <w:div w:id="837310475">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VE"/>
              <a:t>Promedio de muertes y</a:t>
            </a:r>
            <a:r>
              <a:rPr lang="es-VE" baseline="0"/>
              <a:t> casos nuevos</a:t>
            </a:r>
            <a:r>
              <a:rPr lang="es-VE"/>
              <a:t> diarios desde declaración de pandemia mundial (por 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lineChart>
        <c:grouping val="standard"/>
        <c:varyColors val="0"/>
        <c:ser>
          <c:idx val="0"/>
          <c:order val="0"/>
          <c:tx>
            <c:strRef>
              <c:f>Hoja1!$B$1</c:f>
              <c:strCache>
                <c:ptCount val="1"/>
                <c:pt idx="0">
                  <c:v>Nuevos infectados</c:v>
                </c:pt>
              </c:strCache>
            </c:strRef>
          </c:tx>
          <c:spPr>
            <a:ln w="28575" cap="rnd">
              <a:solidFill>
                <a:schemeClr val="accent1"/>
              </a:solidFill>
              <a:round/>
            </a:ln>
            <a:effectLst/>
          </c:spPr>
          <c:marker>
            <c:symbol val="diamond"/>
            <c:size val="5"/>
            <c:spPr>
              <a:solidFill>
                <a:schemeClr val="accent1"/>
              </a:solidFill>
              <a:ln w="9525">
                <a:solidFill>
                  <a:schemeClr val="accent1"/>
                </a:solidFill>
              </a:ln>
              <a:effectLst/>
            </c:spPr>
          </c:marker>
          <c:cat>
            <c:numRef>
              <c:f>Hoja1!$A$2:$A$12</c:f>
              <c:numCache>
                <c:formatCode>mmm\-yy</c:formatCode>
                <c:ptCount val="11"/>
                <c:pt idx="0">
                  <c:v>43891</c:v>
                </c:pt>
                <c:pt idx="1">
                  <c:v>43922</c:v>
                </c:pt>
                <c:pt idx="2">
                  <c:v>43952</c:v>
                </c:pt>
                <c:pt idx="3">
                  <c:v>43983</c:v>
                </c:pt>
                <c:pt idx="4">
                  <c:v>44013</c:v>
                </c:pt>
                <c:pt idx="5">
                  <c:v>44044</c:v>
                </c:pt>
                <c:pt idx="6">
                  <c:v>44075</c:v>
                </c:pt>
                <c:pt idx="7">
                  <c:v>44105</c:v>
                </c:pt>
                <c:pt idx="8">
                  <c:v>44136</c:v>
                </c:pt>
                <c:pt idx="9">
                  <c:v>44166</c:v>
                </c:pt>
                <c:pt idx="10">
                  <c:v>44197</c:v>
                </c:pt>
              </c:numCache>
            </c:numRef>
          </c:cat>
          <c:val>
            <c:numRef>
              <c:f>Hoja1!$B$2:$B$12</c:f>
              <c:numCache>
                <c:formatCode>General</c:formatCode>
                <c:ptCount val="11"/>
                <c:pt idx="0">
                  <c:v>57600</c:v>
                </c:pt>
                <c:pt idx="1">
                  <c:v>71400</c:v>
                </c:pt>
                <c:pt idx="2">
                  <c:v>117500</c:v>
                </c:pt>
                <c:pt idx="3">
                  <c:v>163900</c:v>
                </c:pt>
                <c:pt idx="4">
                  <c:v>293200</c:v>
                </c:pt>
                <c:pt idx="5">
                  <c:v>264100</c:v>
                </c:pt>
                <c:pt idx="6">
                  <c:v>311500</c:v>
                </c:pt>
                <c:pt idx="7">
                  <c:v>598100</c:v>
                </c:pt>
                <c:pt idx="8">
                  <c:v>504900</c:v>
                </c:pt>
                <c:pt idx="9">
                  <c:v>695000</c:v>
                </c:pt>
                <c:pt idx="10">
                  <c:v>624300</c:v>
                </c:pt>
              </c:numCache>
            </c:numRef>
          </c:val>
          <c:smooth val="0"/>
          <c:extLst>
            <c:ext xmlns:c16="http://schemas.microsoft.com/office/drawing/2014/chart" uri="{C3380CC4-5D6E-409C-BE32-E72D297353CC}">
              <c16:uniqueId val="{00000000-1A3E-41BC-8211-7091752081FC}"/>
            </c:ext>
          </c:extLst>
        </c:ser>
        <c:ser>
          <c:idx val="1"/>
          <c:order val="1"/>
          <c:tx>
            <c:strRef>
              <c:f>Hoja1!$C$1</c:f>
              <c:strCache>
                <c:ptCount val="1"/>
                <c:pt idx="0">
                  <c:v>Muertes</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cat>
            <c:numRef>
              <c:f>Hoja1!$A$2:$A$12</c:f>
              <c:numCache>
                <c:formatCode>mmm\-yy</c:formatCode>
                <c:ptCount val="11"/>
                <c:pt idx="0">
                  <c:v>43891</c:v>
                </c:pt>
                <c:pt idx="1">
                  <c:v>43922</c:v>
                </c:pt>
                <c:pt idx="2">
                  <c:v>43952</c:v>
                </c:pt>
                <c:pt idx="3">
                  <c:v>43983</c:v>
                </c:pt>
                <c:pt idx="4">
                  <c:v>44013</c:v>
                </c:pt>
                <c:pt idx="5">
                  <c:v>44044</c:v>
                </c:pt>
                <c:pt idx="6">
                  <c:v>44075</c:v>
                </c:pt>
                <c:pt idx="7">
                  <c:v>44105</c:v>
                </c:pt>
                <c:pt idx="8">
                  <c:v>44136</c:v>
                </c:pt>
                <c:pt idx="9">
                  <c:v>44166</c:v>
                </c:pt>
                <c:pt idx="10">
                  <c:v>44197</c:v>
                </c:pt>
              </c:numCache>
            </c:numRef>
          </c:cat>
          <c:val>
            <c:numRef>
              <c:f>Hoja1!$C$2:$C$12</c:f>
              <c:numCache>
                <c:formatCode>General</c:formatCode>
                <c:ptCount val="11"/>
                <c:pt idx="0">
                  <c:v>3200</c:v>
                </c:pt>
                <c:pt idx="1">
                  <c:v>9700</c:v>
                </c:pt>
                <c:pt idx="2">
                  <c:v>5010</c:v>
                </c:pt>
                <c:pt idx="3">
                  <c:v>3900</c:v>
                </c:pt>
                <c:pt idx="4">
                  <c:v>6800</c:v>
                </c:pt>
                <c:pt idx="5">
                  <c:v>5300</c:v>
                </c:pt>
                <c:pt idx="6">
                  <c:v>4900</c:v>
                </c:pt>
                <c:pt idx="7">
                  <c:v>7600</c:v>
                </c:pt>
                <c:pt idx="8">
                  <c:v>8100</c:v>
                </c:pt>
                <c:pt idx="9">
                  <c:v>12900</c:v>
                </c:pt>
                <c:pt idx="10">
                  <c:v>14700</c:v>
                </c:pt>
              </c:numCache>
            </c:numRef>
          </c:val>
          <c:smooth val="0"/>
          <c:extLst>
            <c:ext xmlns:c16="http://schemas.microsoft.com/office/drawing/2014/chart" uri="{C3380CC4-5D6E-409C-BE32-E72D297353CC}">
              <c16:uniqueId val="{00000001-1A3E-41BC-8211-7091752081FC}"/>
            </c:ext>
          </c:extLst>
        </c:ser>
        <c:dLbls>
          <c:showLegendKey val="0"/>
          <c:showVal val="0"/>
          <c:showCatName val="0"/>
          <c:showSerName val="0"/>
          <c:showPercent val="0"/>
          <c:showBubbleSize val="0"/>
        </c:dLbls>
        <c:marker val="1"/>
        <c:smooth val="0"/>
        <c:axId val="402854520"/>
        <c:axId val="402855832"/>
      </c:lineChart>
      <c:dateAx>
        <c:axId val="402854520"/>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402855832"/>
        <c:crosses val="autoZero"/>
        <c:auto val="1"/>
        <c:lblOffset val="100"/>
        <c:baseTimeUnit val="months"/>
      </c:dateAx>
      <c:valAx>
        <c:axId val="402855832"/>
        <c:scaling>
          <c:orientation val="minMax"/>
          <c:max val="7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402854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VE" sz="1400" b="0" i="0" baseline="0">
                <a:effectLst/>
              </a:rPr>
              <a:t>Número total de muertes por COVID-19</a:t>
            </a:r>
          </a:p>
          <a:p>
            <a:pPr>
              <a:defRPr/>
            </a:pPr>
            <a:r>
              <a:rPr lang="es-VE" sz="1400" b="0" i="0" baseline="0">
                <a:effectLst/>
              </a:rPr>
              <a:t>en Venezuela</a:t>
            </a:r>
            <a:endParaRPr lang="es-VE"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barChart>
        <c:barDir val="col"/>
        <c:grouping val="clustered"/>
        <c:varyColors val="0"/>
        <c:ser>
          <c:idx val="2"/>
          <c:order val="2"/>
          <c:tx>
            <c:strRef>
              <c:f>Hoja1!$D$1</c:f>
              <c:strCache>
                <c:ptCount val="1"/>
                <c:pt idx="0">
                  <c:v>Muertes</c:v>
                </c:pt>
              </c:strCache>
            </c:strRef>
          </c:tx>
          <c:spPr>
            <a:solidFill>
              <a:schemeClr val="accent3"/>
            </a:solidFill>
            <a:ln>
              <a:noFill/>
            </a:ln>
            <a:effectLst/>
          </c:spPr>
          <c:invertIfNegative val="0"/>
          <c:cat>
            <c:strRef>
              <c:f>Hoja1!$A$2</c:f>
              <c:strCache>
                <c:ptCount val="1"/>
                <c:pt idx="0">
                  <c:v>En Venezuela</c:v>
                </c:pt>
              </c:strCache>
            </c:strRef>
          </c:cat>
          <c:val>
            <c:numRef>
              <c:f>Hoja1!$D$2</c:f>
              <c:numCache>
                <c:formatCode>#,##0</c:formatCode>
                <c:ptCount val="1"/>
                <c:pt idx="0">
                  <c:v>1154</c:v>
                </c:pt>
              </c:numCache>
            </c:numRef>
          </c:val>
          <c:extLst>
            <c:ext xmlns:c16="http://schemas.microsoft.com/office/drawing/2014/chart" uri="{C3380CC4-5D6E-409C-BE32-E72D297353CC}">
              <c16:uniqueId val="{00000000-6665-4519-9E7C-69072C4754BE}"/>
            </c:ext>
          </c:extLst>
        </c:ser>
        <c:dLbls>
          <c:showLegendKey val="0"/>
          <c:showVal val="0"/>
          <c:showCatName val="0"/>
          <c:showSerName val="0"/>
          <c:showPercent val="0"/>
          <c:showBubbleSize val="0"/>
        </c:dLbls>
        <c:gapWidth val="219"/>
        <c:overlap val="-27"/>
        <c:axId val="371615000"/>
        <c:axId val="371616640"/>
        <c:extLst>
          <c:ext xmlns:c15="http://schemas.microsoft.com/office/drawing/2012/chart" uri="{02D57815-91ED-43cb-92C2-25804820EDAC}">
            <c15:filteredBarSeries>
              <c15:ser>
                <c:idx val="0"/>
                <c:order val="0"/>
                <c:tx>
                  <c:strRef>
                    <c:extLst>
                      <c:ext uri="{02D57815-91ED-43cb-92C2-25804820EDAC}">
                        <c15:formulaRef>
                          <c15:sqref>Hoja1!$B$1</c15:sqref>
                        </c15:formulaRef>
                      </c:ext>
                    </c:extLst>
                    <c:strCache>
                      <c:ptCount val="1"/>
                      <c:pt idx="0">
                        <c:v>Infectados totales</c:v>
                      </c:pt>
                    </c:strCache>
                  </c:strRef>
                </c:tx>
                <c:spPr>
                  <a:solidFill>
                    <a:schemeClr val="accent1"/>
                  </a:solidFill>
                  <a:ln>
                    <a:noFill/>
                  </a:ln>
                  <a:effectLst/>
                </c:spPr>
                <c:invertIfNegative val="0"/>
                <c:cat>
                  <c:strRef>
                    <c:extLst>
                      <c:ext uri="{02D57815-91ED-43cb-92C2-25804820EDAC}">
                        <c15:formulaRef>
                          <c15:sqref>Hoja1!$A$2</c15:sqref>
                        </c15:formulaRef>
                      </c:ext>
                    </c:extLst>
                    <c:strCache>
                      <c:ptCount val="1"/>
                      <c:pt idx="0">
                        <c:v>En Venezuela</c:v>
                      </c:pt>
                    </c:strCache>
                  </c:strRef>
                </c:cat>
                <c:val>
                  <c:numRef>
                    <c:extLst>
                      <c:ext uri="{02D57815-91ED-43cb-92C2-25804820EDAC}">
                        <c15:formulaRef>
                          <c15:sqref>Hoja1!$B$2</c15:sqref>
                        </c15:formulaRef>
                      </c:ext>
                    </c:extLst>
                    <c:numCache>
                      <c:formatCode>#,##0</c:formatCode>
                      <c:ptCount val="1"/>
                      <c:pt idx="0">
                        <c:v>121691</c:v>
                      </c:pt>
                    </c:numCache>
                  </c:numRef>
                </c:val>
                <c:extLst>
                  <c:ext xmlns:c16="http://schemas.microsoft.com/office/drawing/2014/chart" uri="{C3380CC4-5D6E-409C-BE32-E72D297353CC}">
                    <c16:uniqueId val="{00000001-6665-4519-9E7C-69072C4754B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Hoja1!$C$1</c15:sqref>
                        </c15:formulaRef>
                      </c:ext>
                    </c:extLst>
                    <c:strCache>
                      <c:ptCount val="1"/>
                      <c:pt idx="0">
                        <c:v>Recuperados</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Hoja1!$A$2</c15:sqref>
                        </c15:formulaRef>
                      </c:ext>
                    </c:extLst>
                    <c:strCache>
                      <c:ptCount val="1"/>
                      <c:pt idx="0">
                        <c:v>En Venezuela</c:v>
                      </c:pt>
                    </c:strCache>
                  </c:strRef>
                </c:cat>
                <c:val>
                  <c:numRef>
                    <c:extLst xmlns:c15="http://schemas.microsoft.com/office/drawing/2012/chart">
                      <c:ext xmlns:c15="http://schemas.microsoft.com/office/drawing/2012/chart" uri="{02D57815-91ED-43cb-92C2-25804820EDAC}">
                        <c15:formulaRef>
                          <c15:sqref>Hoja1!$C$2</c15:sqref>
                        </c15:formulaRef>
                      </c:ext>
                    </c:extLst>
                    <c:numCache>
                      <c:formatCode>#,##0</c:formatCode>
                      <c:ptCount val="1"/>
                      <c:pt idx="0">
                        <c:v>113982</c:v>
                      </c:pt>
                    </c:numCache>
                  </c:numRef>
                </c:val>
                <c:extLst xmlns:c15="http://schemas.microsoft.com/office/drawing/2012/chart">
                  <c:ext xmlns:c16="http://schemas.microsoft.com/office/drawing/2014/chart" uri="{C3380CC4-5D6E-409C-BE32-E72D297353CC}">
                    <c16:uniqueId val="{00000002-6665-4519-9E7C-69072C4754BE}"/>
                  </c:ext>
                </c:extLst>
              </c15:ser>
            </c15:filteredBarSeries>
          </c:ext>
        </c:extLst>
      </c:barChart>
      <c:catAx>
        <c:axId val="37161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371616640"/>
        <c:crosses val="autoZero"/>
        <c:auto val="1"/>
        <c:lblAlgn val="ctr"/>
        <c:lblOffset val="100"/>
        <c:tickMarkSkip val="1"/>
        <c:noMultiLvlLbl val="0"/>
      </c:catAx>
      <c:valAx>
        <c:axId val="371616640"/>
        <c:scaling>
          <c:orientation val="minMax"/>
          <c:max val="1200"/>
          <c:min val="0"/>
        </c:scaling>
        <c:delete val="0"/>
        <c:axPos val="l"/>
        <c:majorGridlines>
          <c:spPr>
            <a:ln w="9525" cap="flat" cmpd="sng" algn="ctr">
              <a:solidFill>
                <a:schemeClr val="tx1">
                  <a:lumMod val="15000"/>
                  <a:lumOff val="85000"/>
                </a:schemeClr>
              </a:solidFill>
              <a:round/>
              <a:tailEnd type="diamo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371615000"/>
        <c:crosses val="autoZero"/>
        <c:crossBetween val="between"/>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V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VE"/>
              <a:t>Número total de casos de COVID-19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barChart>
        <c:barDir val="col"/>
        <c:grouping val="clustered"/>
        <c:varyColors val="0"/>
        <c:ser>
          <c:idx val="0"/>
          <c:order val="0"/>
          <c:tx>
            <c:strRef>
              <c:f>Hoja1!$B$1</c:f>
              <c:strCache>
                <c:ptCount val="1"/>
                <c:pt idx="0">
                  <c:v>Infectados totales</c:v>
                </c:pt>
              </c:strCache>
            </c:strRef>
          </c:tx>
          <c:spPr>
            <a:solidFill>
              <a:schemeClr val="accent1"/>
            </a:solidFill>
            <a:ln>
              <a:noFill/>
            </a:ln>
            <a:effectLst/>
          </c:spPr>
          <c:invertIfNegative val="0"/>
          <c:cat>
            <c:strRef>
              <c:f>Hoja1!$A$2</c:f>
              <c:strCache>
                <c:ptCount val="1"/>
                <c:pt idx="0">
                  <c:v>Globalmente</c:v>
                </c:pt>
              </c:strCache>
            </c:strRef>
          </c:cat>
          <c:val>
            <c:numRef>
              <c:f>Hoja1!$B$2</c:f>
              <c:numCache>
                <c:formatCode>#,##0</c:formatCode>
                <c:ptCount val="1"/>
                <c:pt idx="0">
                  <c:v>97151318</c:v>
                </c:pt>
              </c:numCache>
            </c:numRef>
          </c:val>
          <c:extLst>
            <c:ext xmlns:c16="http://schemas.microsoft.com/office/drawing/2014/chart" uri="{C3380CC4-5D6E-409C-BE32-E72D297353CC}">
              <c16:uniqueId val="{00000000-EED2-4AC8-8AC7-2A6BDE2EE7F5}"/>
            </c:ext>
          </c:extLst>
        </c:ser>
        <c:ser>
          <c:idx val="1"/>
          <c:order val="1"/>
          <c:tx>
            <c:strRef>
              <c:f>Hoja1!$C$1</c:f>
              <c:strCache>
                <c:ptCount val="1"/>
                <c:pt idx="0">
                  <c:v>Recuperados</c:v>
                </c:pt>
              </c:strCache>
            </c:strRef>
          </c:tx>
          <c:spPr>
            <a:solidFill>
              <a:schemeClr val="accent2"/>
            </a:solidFill>
            <a:ln>
              <a:noFill/>
            </a:ln>
            <a:effectLst/>
          </c:spPr>
          <c:invertIfNegative val="0"/>
          <c:cat>
            <c:strRef>
              <c:f>Hoja1!$A$2</c:f>
              <c:strCache>
                <c:ptCount val="1"/>
                <c:pt idx="0">
                  <c:v>Globalmente</c:v>
                </c:pt>
              </c:strCache>
            </c:strRef>
          </c:cat>
          <c:val>
            <c:numRef>
              <c:f>Hoja1!$C$2</c:f>
              <c:numCache>
                <c:formatCode>#,##0</c:formatCode>
                <c:ptCount val="1"/>
                <c:pt idx="0">
                  <c:v>53564222</c:v>
                </c:pt>
              </c:numCache>
            </c:numRef>
          </c:val>
          <c:extLst>
            <c:ext xmlns:c16="http://schemas.microsoft.com/office/drawing/2014/chart" uri="{C3380CC4-5D6E-409C-BE32-E72D297353CC}">
              <c16:uniqueId val="{00000001-EED2-4AC8-8AC7-2A6BDE2EE7F5}"/>
            </c:ext>
          </c:extLst>
        </c:ser>
        <c:ser>
          <c:idx val="2"/>
          <c:order val="2"/>
          <c:tx>
            <c:strRef>
              <c:f>Hoja1!$D$1</c:f>
              <c:strCache>
                <c:ptCount val="1"/>
                <c:pt idx="0">
                  <c:v>Muertes</c:v>
                </c:pt>
              </c:strCache>
            </c:strRef>
          </c:tx>
          <c:spPr>
            <a:solidFill>
              <a:schemeClr val="accent3"/>
            </a:solidFill>
            <a:ln>
              <a:noFill/>
            </a:ln>
            <a:effectLst/>
          </c:spPr>
          <c:invertIfNegative val="0"/>
          <c:cat>
            <c:strRef>
              <c:f>Hoja1!$A$2</c:f>
              <c:strCache>
                <c:ptCount val="1"/>
                <c:pt idx="0">
                  <c:v>Globalmente</c:v>
                </c:pt>
              </c:strCache>
            </c:strRef>
          </c:cat>
          <c:val>
            <c:numRef>
              <c:f>Hoja1!$D$2</c:f>
              <c:numCache>
                <c:formatCode>#,##0</c:formatCode>
                <c:ptCount val="1"/>
                <c:pt idx="0">
                  <c:v>2082605</c:v>
                </c:pt>
              </c:numCache>
            </c:numRef>
          </c:val>
          <c:extLst>
            <c:ext xmlns:c16="http://schemas.microsoft.com/office/drawing/2014/chart" uri="{C3380CC4-5D6E-409C-BE32-E72D297353CC}">
              <c16:uniqueId val="{00000002-EED2-4AC8-8AC7-2A6BDE2EE7F5}"/>
            </c:ext>
          </c:extLst>
        </c:ser>
        <c:dLbls>
          <c:showLegendKey val="0"/>
          <c:showVal val="0"/>
          <c:showCatName val="0"/>
          <c:showSerName val="0"/>
          <c:showPercent val="0"/>
          <c:showBubbleSize val="0"/>
        </c:dLbls>
        <c:gapWidth val="219"/>
        <c:overlap val="-27"/>
        <c:axId val="371615000"/>
        <c:axId val="371616640"/>
      </c:barChart>
      <c:catAx>
        <c:axId val="37161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371616640"/>
        <c:crosses val="autoZero"/>
        <c:auto val="1"/>
        <c:lblAlgn val="ctr"/>
        <c:lblOffset val="100"/>
        <c:tickMarkSkip val="1"/>
        <c:noMultiLvlLbl val="0"/>
      </c:catAx>
      <c:valAx>
        <c:axId val="371616640"/>
        <c:scaling>
          <c:orientation val="minMax"/>
          <c:max val="100000000"/>
          <c:min val="0"/>
        </c:scaling>
        <c:delete val="0"/>
        <c:axPos val="l"/>
        <c:majorGridlines>
          <c:spPr>
            <a:ln w="9525" cap="flat" cmpd="sng" algn="ctr">
              <a:solidFill>
                <a:schemeClr val="tx1">
                  <a:lumMod val="15000"/>
                  <a:lumOff val="85000"/>
                </a:schemeClr>
              </a:solidFill>
              <a:round/>
              <a:tailEnd type="diamond" w="med" len="me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371615000"/>
        <c:crosses val="autoZero"/>
        <c:crossBetween val="between"/>
        <c:majorUnit val="10000000"/>
      </c:val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VE"/>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VE"/>
              <a:t>Contagios, recuperaciones y muertes totales desde declaración de pandemia mundial (OMS)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lineChart>
        <c:grouping val="standard"/>
        <c:varyColors val="0"/>
        <c:ser>
          <c:idx val="0"/>
          <c:order val="0"/>
          <c:tx>
            <c:strRef>
              <c:f>Hoja1!$B$1</c:f>
              <c:strCache>
                <c:ptCount val="1"/>
                <c:pt idx="0">
                  <c:v>Infectados totales</c:v>
                </c:pt>
              </c:strCache>
            </c:strRef>
          </c:tx>
          <c:spPr>
            <a:ln w="28575" cap="rnd">
              <a:solidFill>
                <a:schemeClr val="accent1"/>
              </a:solidFill>
              <a:round/>
            </a:ln>
            <a:effectLst/>
          </c:spPr>
          <c:marker>
            <c:symbol val="diamond"/>
            <c:size val="5"/>
            <c:spPr>
              <a:solidFill>
                <a:schemeClr val="accent1"/>
              </a:solidFill>
              <a:ln w="9525">
                <a:solidFill>
                  <a:schemeClr val="accent1"/>
                </a:solidFill>
              </a:ln>
              <a:effectLst/>
            </c:spPr>
          </c:marker>
          <c:cat>
            <c:numRef>
              <c:f>Hoja1!$A$2:$A$12</c:f>
              <c:numCache>
                <c:formatCode>mmm\-yy</c:formatCode>
                <c:ptCount val="11"/>
                <c:pt idx="0">
                  <c:v>43891</c:v>
                </c:pt>
                <c:pt idx="1">
                  <c:v>43922</c:v>
                </c:pt>
                <c:pt idx="2">
                  <c:v>43952</c:v>
                </c:pt>
                <c:pt idx="3">
                  <c:v>43983</c:v>
                </c:pt>
                <c:pt idx="4">
                  <c:v>44013</c:v>
                </c:pt>
                <c:pt idx="5">
                  <c:v>44044</c:v>
                </c:pt>
                <c:pt idx="6">
                  <c:v>44075</c:v>
                </c:pt>
                <c:pt idx="7">
                  <c:v>44105</c:v>
                </c:pt>
                <c:pt idx="8">
                  <c:v>44136</c:v>
                </c:pt>
                <c:pt idx="9">
                  <c:v>44166</c:v>
                </c:pt>
                <c:pt idx="10">
                  <c:v>44197</c:v>
                </c:pt>
              </c:numCache>
            </c:numRef>
          </c:cat>
          <c:val>
            <c:numRef>
              <c:f>Hoja1!$B$2:$B$12</c:f>
              <c:numCache>
                <c:formatCode>General</c:formatCode>
                <c:ptCount val="11"/>
                <c:pt idx="0">
                  <c:v>875739</c:v>
                </c:pt>
                <c:pt idx="1">
                  <c:v>3279215</c:v>
                </c:pt>
                <c:pt idx="2">
                  <c:v>6188003</c:v>
                </c:pt>
                <c:pt idx="3">
                  <c:v>10449239</c:v>
                </c:pt>
                <c:pt idx="4">
                  <c:v>17597270</c:v>
                </c:pt>
                <c:pt idx="5">
                  <c:v>25505473</c:v>
                </c:pt>
                <c:pt idx="6">
                  <c:v>34004855</c:v>
                </c:pt>
                <c:pt idx="7">
                  <c:v>46130538</c:v>
                </c:pt>
                <c:pt idx="8">
                  <c:v>63383281</c:v>
                </c:pt>
                <c:pt idx="9">
                  <c:v>83488443</c:v>
                </c:pt>
                <c:pt idx="10">
                  <c:v>96862056</c:v>
                </c:pt>
              </c:numCache>
            </c:numRef>
          </c:val>
          <c:smooth val="0"/>
          <c:extLst>
            <c:ext xmlns:c16="http://schemas.microsoft.com/office/drawing/2014/chart" uri="{C3380CC4-5D6E-409C-BE32-E72D297353CC}">
              <c16:uniqueId val="{00000000-7EC8-46AF-8A11-E1AD5AA21EA6}"/>
            </c:ext>
          </c:extLst>
        </c:ser>
        <c:ser>
          <c:idx val="1"/>
          <c:order val="1"/>
          <c:tx>
            <c:strRef>
              <c:f>Hoja1!$C$1</c:f>
              <c:strCache>
                <c:ptCount val="1"/>
                <c:pt idx="0">
                  <c:v>Recuperados</c:v>
                </c:pt>
              </c:strCache>
            </c:strRef>
          </c:tx>
          <c:spPr>
            <a:ln w="28575" cap="rnd">
              <a:solidFill>
                <a:schemeClr val="accent2"/>
              </a:solidFill>
              <a:round/>
            </a:ln>
            <a:effectLst/>
          </c:spPr>
          <c:marker>
            <c:symbol val="diamond"/>
            <c:size val="5"/>
            <c:spPr>
              <a:solidFill>
                <a:schemeClr val="accent2"/>
              </a:solidFill>
              <a:ln w="9525">
                <a:solidFill>
                  <a:schemeClr val="accent2"/>
                </a:solidFill>
              </a:ln>
              <a:effectLst/>
            </c:spPr>
          </c:marker>
          <c:cat>
            <c:numRef>
              <c:f>Hoja1!$A$2:$A$12</c:f>
              <c:numCache>
                <c:formatCode>mmm\-yy</c:formatCode>
                <c:ptCount val="11"/>
                <c:pt idx="0">
                  <c:v>43891</c:v>
                </c:pt>
                <c:pt idx="1">
                  <c:v>43922</c:v>
                </c:pt>
                <c:pt idx="2">
                  <c:v>43952</c:v>
                </c:pt>
                <c:pt idx="3">
                  <c:v>43983</c:v>
                </c:pt>
                <c:pt idx="4">
                  <c:v>44013</c:v>
                </c:pt>
                <c:pt idx="5">
                  <c:v>44044</c:v>
                </c:pt>
                <c:pt idx="6">
                  <c:v>44075</c:v>
                </c:pt>
                <c:pt idx="7">
                  <c:v>44105</c:v>
                </c:pt>
                <c:pt idx="8">
                  <c:v>44136</c:v>
                </c:pt>
                <c:pt idx="9">
                  <c:v>44166</c:v>
                </c:pt>
                <c:pt idx="10">
                  <c:v>44197</c:v>
                </c:pt>
              </c:numCache>
            </c:numRef>
          </c:cat>
          <c:val>
            <c:numRef>
              <c:f>Hoja1!$C$2:$C$12</c:f>
              <c:numCache>
                <c:formatCode>General</c:formatCode>
                <c:ptCount val="11"/>
                <c:pt idx="0">
                  <c:v>177811</c:v>
                </c:pt>
                <c:pt idx="1">
                  <c:v>1013645</c:v>
                </c:pt>
                <c:pt idx="2">
                  <c:v>2637065</c:v>
                </c:pt>
                <c:pt idx="3">
                  <c:v>5352501</c:v>
                </c:pt>
                <c:pt idx="4">
                  <c:v>10372622</c:v>
                </c:pt>
                <c:pt idx="5">
                  <c:v>16826288</c:v>
                </c:pt>
                <c:pt idx="6">
                  <c:v>23682551</c:v>
                </c:pt>
                <c:pt idx="7">
                  <c:v>30847856</c:v>
                </c:pt>
                <c:pt idx="8">
                  <c:v>40559217</c:v>
                </c:pt>
                <c:pt idx="9">
                  <c:v>47010049</c:v>
                </c:pt>
                <c:pt idx="10">
                  <c:v>53367302</c:v>
                </c:pt>
              </c:numCache>
            </c:numRef>
          </c:val>
          <c:smooth val="0"/>
          <c:extLst>
            <c:ext xmlns:c16="http://schemas.microsoft.com/office/drawing/2014/chart" uri="{C3380CC4-5D6E-409C-BE32-E72D297353CC}">
              <c16:uniqueId val="{00000001-7EC8-46AF-8A11-E1AD5AA21EA6}"/>
            </c:ext>
          </c:extLst>
        </c:ser>
        <c:ser>
          <c:idx val="2"/>
          <c:order val="2"/>
          <c:tx>
            <c:strRef>
              <c:f>Hoja1!$D$1</c:f>
              <c:strCache>
                <c:ptCount val="1"/>
                <c:pt idx="0">
                  <c:v>Muertes</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cat>
            <c:numRef>
              <c:f>Hoja1!$A$2:$A$12</c:f>
              <c:numCache>
                <c:formatCode>mmm\-yy</c:formatCode>
                <c:ptCount val="11"/>
                <c:pt idx="0">
                  <c:v>43891</c:v>
                </c:pt>
                <c:pt idx="1">
                  <c:v>43922</c:v>
                </c:pt>
                <c:pt idx="2">
                  <c:v>43952</c:v>
                </c:pt>
                <c:pt idx="3">
                  <c:v>43983</c:v>
                </c:pt>
                <c:pt idx="4">
                  <c:v>44013</c:v>
                </c:pt>
                <c:pt idx="5">
                  <c:v>44044</c:v>
                </c:pt>
                <c:pt idx="6">
                  <c:v>44075</c:v>
                </c:pt>
                <c:pt idx="7">
                  <c:v>44105</c:v>
                </c:pt>
                <c:pt idx="8">
                  <c:v>44136</c:v>
                </c:pt>
                <c:pt idx="9">
                  <c:v>44166</c:v>
                </c:pt>
                <c:pt idx="10">
                  <c:v>44197</c:v>
                </c:pt>
              </c:numCache>
            </c:numRef>
          </c:cat>
          <c:val>
            <c:numRef>
              <c:f>Hoja1!$D$2:$D$12</c:f>
              <c:numCache>
                <c:formatCode>General</c:formatCode>
                <c:ptCount val="11"/>
                <c:pt idx="0">
                  <c:v>44389</c:v>
                </c:pt>
                <c:pt idx="1">
                  <c:v>236360</c:v>
                </c:pt>
                <c:pt idx="2">
                  <c:v>374450</c:v>
                </c:pt>
                <c:pt idx="3">
                  <c:v>508361</c:v>
                </c:pt>
                <c:pt idx="4">
                  <c:v>675812</c:v>
                </c:pt>
                <c:pt idx="5">
                  <c:v>851269</c:v>
                </c:pt>
                <c:pt idx="6">
                  <c:v>1015183</c:v>
                </c:pt>
                <c:pt idx="7">
                  <c:v>1196400</c:v>
                </c:pt>
                <c:pt idx="8">
                  <c:v>1457307</c:v>
                </c:pt>
                <c:pt idx="9">
                  <c:v>1784125</c:v>
                </c:pt>
                <c:pt idx="10">
                  <c:v>2066749</c:v>
                </c:pt>
              </c:numCache>
            </c:numRef>
          </c:val>
          <c:smooth val="0"/>
          <c:extLst>
            <c:ext xmlns:c16="http://schemas.microsoft.com/office/drawing/2014/chart" uri="{C3380CC4-5D6E-409C-BE32-E72D297353CC}">
              <c16:uniqueId val="{00000002-7EC8-46AF-8A11-E1AD5AA21EA6}"/>
            </c:ext>
          </c:extLst>
        </c:ser>
        <c:dLbls>
          <c:showLegendKey val="0"/>
          <c:showVal val="0"/>
          <c:showCatName val="0"/>
          <c:showSerName val="0"/>
          <c:showPercent val="0"/>
          <c:showBubbleSize val="0"/>
        </c:dLbls>
        <c:marker val="1"/>
        <c:smooth val="0"/>
        <c:axId val="402854520"/>
        <c:axId val="402855832"/>
      </c:lineChart>
      <c:dateAx>
        <c:axId val="402854520"/>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402855832"/>
        <c:crosses val="autoZero"/>
        <c:auto val="1"/>
        <c:lblOffset val="100"/>
        <c:baseTimeUnit val="months"/>
      </c:dateAx>
      <c:valAx>
        <c:axId val="402855832"/>
        <c:scaling>
          <c:orientation val="minMax"/>
          <c:max val="1000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402854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50" baseline="0">
                <a:solidFill>
                  <a:schemeClr val="tx1">
                    <a:lumMod val="65000"/>
                    <a:lumOff val="35000"/>
                  </a:schemeClr>
                </a:solidFill>
                <a:latin typeface="+mn-lt"/>
                <a:ea typeface="+mn-ea"/>
                <a:cs typeface="+mn-cs"/>
              </a:defRPr>
            </a:pPr>
            <a:r>
              <a:rPr lang="en-US" b="0" cap="none"/>
              <a:t>Distribución de casos confirmados</a:t>
            </a:r>
          </a:p>
          <a:p>
            <a:pPr>
              <a:defRPr b="0" cap="none"/>
            </a:pPr>
            <a:r>
              <a:rPr lang="en-US" b="0" cap="none"/>
              <a:t>de los 10 países más afectados</a:t>
            </a:r>
          </a:p>
        </c:rich>
      </c:tx>
      <c:overlay val="0"/>
      <c:spPr>
        <a:noFill/>
        <a:ln>
          <a:noFill/>
        </a:ln>
        <a:effectLst/>
      </c:spPr>
      <c:txPr>
        <a:bodyPr rot="0" spcFirstLastPara="1" vertOverflow="ellipsis" vert="horz" wrap="square" anchor="ctr" anchorCtr="1"/>
        <a:lstStyle/>
        <a:p>
          <a:pPr>
            <a:defRPr sz="1400" b="0" i="0" u="none" strike="noStrike" kern="1200" cap="none" spc="5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Hoja1!$B$1</c:f>
              <c:strCache>
                <c:ptCount val="1"/>
                <c:pt idx="0">
                  <c:v>Distribución de casos confirmados por países más afectados</c:v>
                </c:pt>
              </c:strCache>
            </c:strRef>
          </c:tx>
          <c:spPr>
            <a:effectLst/>
          </c:spPr>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8-BD3A-4331-A6F0-828A0B4CF87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04E-4DC6-A648-D7D1351EDE7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04E-4DC6-A648-D7D1351EDE7E}"/>
              </c:ext>
            </c:extLst>
          </c:dPt>
          <c:dPt>
            <c:idx val="3"/>
            <c:bubble3D val="0"/>
            <c:spPr>
              <a:solidFill>
                <a:srgbClr val="2DC52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D3A-4331-A6F0-828A0B4CF874}"/>
              </c:ext>
            </c:extLst>
          </c:dPt>
          <c:dPt>
            <c:idx val="4"/>
            <c:bubble3D val="0"/>
            <c:spPr>
              <a:solidFill>
                <a:srgbClr val="00B0F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2-BD3A-4331-A6F0-828A0B4CF874}"/>
              </c:ext>
            </c:extLst>
          </c:dPt>
          <c:dPt>
            <c:idx val="5"/>
            <c:bubble3D val="0"/>
            <c:spPr>
              <a:solidFill>
                <a:srgbClr val="8C48E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D3A-4331-A6F0-828A0B4CF874}"/>
              </c:ext>
            </c:extLst>
          </c:dPt>
          <c:dPt>
            <c:idx val="6"/>
            <c:bubble3D val="0"/>
            <c:spPr>
              <a:solidFill>
                <a:srgbClr val="FFA3FF"/>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4-BD3A-4331-A6F0-828A0B4CF874}"/>
              </c:ext>
            </c:extLst>
          </c:dPt>
          <c:dPt>
            <c:idx val="7"/>
            <c:bubble3D val="0"/>
            <c:spPr>
              <a:solidFill>
                <a:srgbClr val="12CC8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D3A-4331-A6F0-828A0B4CF874}"/>
              </c:ext>
            </c:extLst>
          </c:dPt>
          <c:dPt>
            <c:idx val="8"/>
            <c:bubble3D val="0"/>
            <c:spPr>
              <a:solidFill>
                <a:srgbClr val="BF0DB7"/>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6-BD3A-4331-A6F0-828A0B4CF874}"/>
              </c:ext>
            </c:extLst>
          </c:dPt>
          <c:dPt>
            <c:idx val="9"/>
            <c:bubble3D val="0"/>
            <c:spPr>
              <a:solidFill>
                <a:srgbClr val="2B3AA7"/>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BD3A-4331-A6F0-828A0B4CF87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VE"/>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Hoja1!$A$2:$A$11</c:f>
              <c:strCache>
                <c:ptCount val="10"/>
                <c:pt idx="0">
                  <c:v>E.E.U.U</c:v>
                </c:pt>
                <c:pt idx="1">
                  <c:v>India</c:v>
                </c:pt>
                <c:pt idx="2">
                  <c:v>Brasil</c:v>
                </c:pt>
                <c:pt idx="3">
                  <c:v>Rusia</c:v>
                </c:pt>
                <c:pt idx="4">
                  <c:v>Reino Unido</c:v>
                </c:pt>
                <c:pt idx="5">
                  <c:v>Francia</c:v>
                </c:pt>
                <c:pt idx="6">
                  <c:v>España</c:v>
                </c:pt>
                <c:pt idx="7">
                  <c:v>Italia</c:v>
                </c:pt>
                <c:pt idx="8">
                  <c:v>Turquía</c:v>
                </c:pt>
                <c:pt idx="9">
                  <c:v>Alemania</c:v>
                </c:pt>
              </c:strCache>
            </c:strRef>
          </c:cat>
          <c:val>
            <c:numRef>
              <c:f>Hoja1!$B$2:$B$11</c:f>
              <c:numCache>
                <c:formatCode>#,##0</c:formatCode>
                <c:ptCount val="10"/>
                <c:pt idx="0">
                  <c:v>25500842</c:v>
                </c:pt>
                <c:pt idx="1">
                  <c:v>10654744</c:v>
                </c:pt>
                <c:pt idx="2">
                  <c:v>8768280</c:v>
                </c:pt>
                <c:pt idx="3">
                  <c:v>3698273</c:v>
                </c:pt>
                <c:pt idx="4">
                  <c:v>3617459</c:v>
                </c:pt>
                <c:pt idx="5">
                  <c:v>3035181</c:v>
                </c:pt>
                <c:pt idx="6">
                  <c:v>2603472</c:v>
                </c:pt>
                <c:pt idx="7">
                  <c:v>2455185</c:v>
                </c:pt>
                <c:pt idx="8">
                  <c:v>2424328</c:v>
                </c:pt>
                <c:pt idx="9">
                  <c:v>2134994</c:v>
                </c:pt>
              </c:numCache>
            </c:numRef>
          </c:val>
          <c:extLst>
            <c:ext xmlns:c16="http://schemas.microsoft.com/office/drawing/2014/chart" uri="{C3380CC4-5D6E-409C-BE32-E72D297353CC}">
              <c16:uniqueId val="{00000000-BD3A-4331-A6F0-828A0B4CF87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50" baseline="0">
                <a:solidFill>
                  <a:schemeClr val="tx1">
                    <a:lumMod val="65000"/>
                    <a:lumOff val="35000"/>
                  </a:schemeClr>
                </a:solidFill>
                <a:latin typeface="+mn-lt"/>
                <a:ea typeface="+mn-ea"/>
                <a:cs typeface="+mn-cs"/>
              </a:defRPr>
            </a:pPr>
            <a:r>
              <a:rPr lang="en-US" b="0" cap="none"/>
              <a:t>Relación (en</a:t>
            </a:r>
            <a:r>
              <a:rPr lang="en-US" b="0" cap="none" baseline="0"/>
              <a:t> p</a:t>
            </a:r>
            <a:r>
              <a:rPr lang="en-US" b="0" cap="none"/>
              <a:t>orcentaje)</a:t>
            </a:r>
            <a:r>
              <a:rPr lang="en-US" b="0" cap="none" baseline="0"/>
              <a:t> de muertes y</a:t>
            </a:r>
          </a:p>
          <a:p>
            <a:pPr>
              <a:defRPr b="0" cap="none"/>
            </a:pPr>
            <a:r>
              <a:rPr lang="en-US" b="0" cap="none" baseline="0"/>
              <a:t>recuperaciones totales</a:t>
            </a:r>
            <a:endParaRPr lang="en-US" b="0" cap="none"/>
          </a:p>
        </c:rich>
      </c:tx>
      <c:overlay val="0"/>
      <c:spPr>
        <a:noFill/>
        <a:ln>
          <a:noFill/>
        </a:ln>
        <a:effectLst/>
      </c:spPr>
      <c:txPr>
        <a:bodyPr rot="0" spcFirstLastPara="1" vertOverflow="ellipsis" vert="horz" wrap="square" anchor="ctr" anchorCtr="1"/>
        <a:lstStyle/>
        <a:p>
          <a:pPr>
            <a:defRPr sz="1400" b="0" i="0" u="none" strike="noStrike" kern="1200" cap="none" spc="50" baseline="0">
              <a:solidFill>
                <a:schemeClr val="tx1">
                  <a:lumMod val="65000"/>
                  <a:lumOff val="35000"/>
                </a:schemeClr>
              </a:solidFill>
              <a:latin typeface="+mn-lt"/>
              <a:ea typeface="+mn-ea"/>
              <a:cs typeface="+mn-cs"/>
            </a:defRPr>
          </a:pPr>
          <a:endParaRPr lang="es-VE"/>
        </a:p>
      </c:txPr>
    </c:title>
    <c:autoTitleDeleted val="0"/>
    <c:plotArea>
      <c:layout/>
      <c:pieChart>
        <c:varyColors val="1"/>
        <c:ser>
          <c:idx val="0"/>
          <c:order val="0"/>
          <c:tx>
            <c:strRef>
              <c:f>Hoja1!$B$1</c:f>
              <c:strCache>
                <c:ptCount val="1"/>
                <c:pt idx="0">
                  <c:v>Covid-19</c:v>
                </c:pt>
              </c:strCache>
            </c:strRef>
          </c:tx>
          <c:spPr>
            <a:solidFill>
              <a:schemeClr val="accent2"/>
            </a:solidFill>
            <a:effectLst>
              <a:outerShdw blurRad="63500" sx="102000" sy="102000" algn="ctr" rotWithShape="0">
                <a:prstClr val="black">
                  <a:alpha val="9000"/>
                </a:prstClr>
              </a:outerShdw>
            </a:effectLst>
          </c:spPr>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745-4A22-9E1E-EA2CEFA931ED}"/>
              </c:ext>
            </c:extLst>
          </c:dPt>
          <c:dPt>
            <c:idx val="1"/>
            <c:bubble3D val="0"/>
            <c:spPr>
              <a:solidFill>
                <a:schemeClr val="accent3"/>
              </a:solidFill>
              <a:ln>
                <a:noFill/>
              </a:ln>
              <a:effectLst>
                <a:outerShdw blurRad="63500" sx="102000" sy="102000" algn="ctr" rotWithShape="0">
                  <a:prstClr val="black">
                    <a:alpha val="9000"/>
                  </a:prstClr>
                </a:outerShdw>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745-4A22-9E1E-EA2CEFA931E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VE"/>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2"/>
                <c:pt idx="0">
                  <c:v>Recuperados</c:v>
                </c:pt>
                <c:pt idx="1">
                  <c:v>Muertes</c:v>
                </c:pt>
              </c:strCache>
            </c:strRef>
          </c:cat>
          <c:val>
            <c:numRef>
              <c:f>Hoja1!$B$2:$B$4</c:f>
              <c:numCache>
                <c:formatCode>#,##0</c:formatCode>
                <c:ptCount val="2"/>
                <c:pt idx="0">
                  <c:v>53564222</c:v>
                </c:pt>
                <c:pt idx="1">
                  <c:v>2082605</c:v>
                </c:pt>
              </c:numCache>
            </c:numRef>
          </c:val>
          <c:extLst>
            <c:ext xmlns:c16="http://schemas.microsoft.com/office/drawing/2014/chart" uri="{C3380CC4-5D6E-409C-BE32-E72D297353CC}">
              <c16:uniqueId val="{00000000-39A6-45BB-B4B8-9D274DECA54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FFC000"/>
      </a:accent1>
      <a:accent2>
        <a:srgbClr val="3FDDDD"/>
      </a:accent2>
      <a:accent3>
        <a:srgbClr val="E03C77"/>
      </a:accent3>
      <a:accent4>
        <a:srgbClr val="3263B2"/>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64469A9-5E5F-4D4E-9723-50B5AF97A1D2}">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ED0DA2-E265-41EF-A8AE-33B7B85FC9A5}">
  <we:reference id="wa104380121" version="2.0.0.0" store="es-E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2077</TotalTime>
  <Pages>1</Pages>
  <Words>688</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9</cp:revision>
  <dcterms:created xsi:type="dcterms:W3CDTF">2020-10-02T20:08:00Z</dcterms:created>
  <dcterms:modified xsi:type="dcterms:W3CDTF">2021-01-28T01:50:00Z</dcterms:modified>
</cp:coreProperties>
</file>