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Ind w:w="0" w:type="dxa"/>
      </w:tblPr>
      <w:tblGrid>
        <w:gridCol w:w="8136"/>
        <w:gridCol w:w="2232"/>
      </w:tblGrid>
      <w:tr>
        <w:trPr>
          <w:tblHeader w:val="true"/>
        </w:trPr>
        <w:tc>
          <w:tcPr>
            <w:tcW w:type="dxa" w:w="8136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33"/>
              </w:rPr>
              <w:t>DESARROLLO DE LA CAPA DE PRESENTACIÓN</w:t>
            </w:r>
          </w:p>
          <w:p>
            <w:pPr>
              <w:spacing w:before="20" w:after="0"/>
            </w:pPr>
            <w:r>
              <w:rPr>
                <w:rFonts w:ascii="Aptos" w:hAnsi="Aptos"/>
                <w:b/>
                <w:i w:val="0"/>
                <w:color w:val="286CF7"/>
                <w:sz w:val="18"/>
              </w:rPr>
              <w:t>Integración desacoplada con la API de SIGEBI-NE</w:t>
            </w:r>
          </w:p>
        </w:tc>
        <w:tc>
          <w:tcPr>
            <w:tcW w:type="dxa" w:w="2232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1872" cy="459769"/>
                  <wp:docPr id="1" name="Picture 1" title="Logo SIGEBI Nueva Era" descr="Identidad visual del Sistema de Gestión Bibliotecaria Nueva Er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-library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459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3E2F8"/>
          <w:left w:val="single" w:sz="4" w:color="D3E2F8"/>
          <w:bottom w:val="single" w:sz="4" w:color="D3E2F8"/>
          <w:right w:val="single" w:sz="4" w:color="D3E2F8"/>
          <w:insideH w:val="single" w:sz="4" w:color="D3E2F8"/>
          <w:insideV w:val="single" w:sz="4" w:color="D3E2F8"/>
        </w:tblBorders>
      </w:tblPr>
      <w:tblGrid>
        <w:gridCol w:w="3528"/>
        <w:gridCol w:w="3384"/>
        <w:gridCol w:w="3456"/>
      </w:tblGrid>
      <w:tr>
        <w:trPr>
          <w:tblHeader w:val="true"/>
        </w:trPr>
        <w:tc>
          <w:tcPr>
            <w:tcW w:type="dxa" w:w="3528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ASIGNATURA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Programación II</w:t>
            </w:r>
          </w:p>
        </w:tc>
        <w:tc>
          <w:tcPr>
            <w:tcW w:type="dxa" w:w="3384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DOCENTE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Francis Ramírez</w:t>
            </w:r>
          </w:p>
        </w:tc>
        <w:tc>
          <w:tcPr>
            <w:tcW w:type="dxa" w:w="3456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FECHA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3 de agosto de 2026</w:t>
            </w:r>
          </w:p>
        </w:tc>
      </w:tr>
      <w:tr>
        <w:tc>
          <w:tcPr>
            <w:tcW w:type="dxa" w:w="3528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WEB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Bryant Rainieris Romano Peña · 2025-2270</w:t>
            </w:r>
          </w:p>
        </w:tc>
        <w:tc>
          <w:tcPr>
            <w:tcW w:type="dxa" w:w="3384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DESKTOP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Stanley Camacho Abreu · 2025-2271</w:t>
            </w:r>
          </w:p>
        </w:tc>
        <w:tc>
          <w:tcPr>
            <w:tcW w:type="dxa" w:w="3456"/>
            <w:tcMar>
              <w:top w:w="45" w:type="dxa"/>
              <w:start w:w="70" w:type="dxa"/>
              <w:bottom w:w="45" w:type="dxa"/>
              <w:end w:w="7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6CF7"/>
                <w:sz w:val="13"/>
              </w:rPr>
              <w:t>PROYECTO</w:t>
              <w:br/>
            </w:r>
            <w:r>
              <w:rPr>
                <w:rFonts w:ascii="Aptos" w:hAnsi="Aptos"/>
                <w:b w:val="0"/>
                <w:i w:val="0"/>
                <w:color w:val="0B1F44"/>
                <w:sz w:val="15"/>
              </w:rPr>
              <w:t>SIGEBI-NE · Librería Nueva Era</w:t>
            </w:r>
          </w:p>
        </w:tc>
      </w:tr>
    </w:tbl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1  </w:t>
      </w:r>
      <w:r>
        <w:rPr>
          <w:rFonts w:ascii="Aptos" w:hAnsi="Aptos"/>
          <w:b/>
          <w:i w:val="0"/>
          <w:color w:val="0B1F44"/>
          <w:sz w:val="21"/>
        </w:rPr>
        <w:t>Objetivo y alcance</w:t>
      </w:r>
    </w:p>
    <w:p>
      <w:pPr>
        <w:spacing w:after="40"/>
      </w:pPr>
      <w:r>
        <w:rPr>
          <w:rFonts w:ascii="Aptos" w:hAnsi="Aptos"/>
          <w:b w:val="0"/>
          <w:i w:val="0"/>
          <w:color w:val="111827"/>
          <w:sz w:val="16"/>
        </w:rPr>
        <w:t>La capa de presentación de SIGEBI-NE integra dos clientes —</w:t>
      </w:r>
      <w:r>
        <w:rPr>
          <w:rFonts w:ascii="Aptos" w:hAnsi="Aptos"/>
          <w:b/>
          <w:i w:val="0"/>
          <w:color w:val="286CF7"/>
          <w:sz w:val="16"/>
        </w:rPr>
        <w:t xml:space="preserve"> Web ASP.NET Core MVC</w:t>
      </w:r>
      <w:r>
        <w:rPr>
          <w:rFonts w:ascii="Aptos" w:hAnsi="Aptos"/>
          <w:b w:val="0"/>
          <w:i w:val="0"/>
          <w:color w:val="111827"/>
          <w:sz w:val="16"/>
        </w:rPr>
        <w:t xml:space="preserve"> para estudiantes y docentes, y </w:t>
      </w:r>
      <w:r>
        <w:rPr>
          <w:rFonts w:ascii="Aptos" w:hAnsi="Aptos"/>
          <w:b/>
          <w:i w:val="0"/>
          <w:color w:val="286CF7"/>
          <w:sz w:val="16"/>
        </w:rPr>
        <w:t>Desktop WinForms</w:t>
      </w:r>
      <w:r>
        <w:rPr>
          <w:rFonts w:ascii="Aptos" w:hAnsi="Aptos"/>
          <w:b w:val="0"/>
          <w:i w:val="0"/>
          <w:color w:val="111827"/>
          <w:sz w:val="16"/>
        </w:rPr>
        <w:t xml:space="preserve"> para la operación administrativa— con los endpoints de SIGEBI.API. El objetivo es ofrecer interacción consistente, segura y mantenible sin trasladar reglas de negocio ni acceso a datos a las interfaces.</w:t>
      </w:r>
    </w:p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2  </w:t>
      </w:r>
      <w:r>
        <w:rPr>
          <w:rFonts w:ascii="Aptos" w:hAnsi="Aptos"/>
          <w:b/>
          <w:i w:val="0"/>
          <w:color w:val="0B1F44"/>
          <w:sz w:val="21"/>
        </w:rPr>
        <w:t>Arquitectura lógica de presentación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565392" cy="1203655"/>
            <wp:docPr id="2" name="Picture 2" title="Flujo de arquitectura de presentación" descr="Usuario interactúa con UI Web o Desktop; controladores o formularios llaman servicios HTTP, que consumen SIGEBI.API y las capas Application, Domain y Persist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120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ptos" w:hAnsi="Aptos"/>
          <w:b w:val="0"/>
          <w:i/>
          <w:color w:val="526580"/>
          <w:sz w:val="14"/>
        </w:rPr>
        <w:t>Figura 1. Flujo obligatorio Usuario → UI → Orquestación → Servicios API → Backend.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3E2F8"/>
          <w:left w:val="single" w:sz="5" w:color="D3E2F8"/>
          <w:bottom w:val="single" w:sz="5" w:color="D3E2F8"/>
          <w:right w:val="single" w:sz="5" w:color="D3E2F8"/>
          <w:insideH w:val="single" w:sz="5" w:color="D3E2F8"/>
          <w:insideV w:val="single" w:sz="5" w:color="D3E2F8"/>
        </w:tblBorders>
      </w:tblPr>
      <w:tblGrid>
        <w:gridCol w:w="1699"/>
        <w:gridCol w:w="3053"/>
        <w:gridCol w:w="5616"/>
      </w:tblGrid>
      <w:tr>
        <w:trPr>
          <w:tblHeader w:val="true"/>
        </w:trPr>
        <w:tc>
          <w:tcPr>
            <w:tcW w:type="dxa" w:w="1699"/>
            <w:shd w:fill="0B1F4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Componente</w:t>
            </w:r>
          </w:p>
        </w:tc>
        <w:tc>
          <w:tcPr>
            <w:tcW w:type="dxa" w:w="3052"/>
            <w:shd w:fill="0B1F4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Implementación</w:t>
            </w:r>
          </w:p>
        </w:tc>
        <w:tc>
          <w:tcPr>
            <w:tcW w:type="dxa" w:w="5616"/>
            <w:shd w:fill="0B1F4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Responsabilidad</w:t>
            </w:r>
          </w:p>
        </w:tc>
      </w:tr>
      <w:tr>
        <w:tc>
          <w:tcPr>
            <w:tcW w:type="dxa" w:w="1699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4"/>
              </w:rPr>
              <w:t>Web</w:t>
            </w:r>
          </w:p>
        </w:tc>
        <w:tc>
          <w:tcPr>
            <w:tcW w:type="dxa" w:w="3052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Razor Views, Controllers y ViewModels</w:t>
            </w:r>
          </w:p>
        </w:tc>
        <w:tc>
          <w:tcPr>
            <w:tcW w:type="dxa" w:w="5616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Interacción, presentación, validación inicial y navegación.</w:t>
            </w:r>
          </w:p>
        </w:tc>
      </w:tr>
      <w:tr>
        <w:tc>
          <w:tcPr>
            <w:tcW w:type="dxa" w:w="1699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4"/>
              </w:rPr>
              <w:t>Desktop</w:t>
            </w:r>
          </w:p>
        </w:tc>
        <w:tc>
          <w:tcPr>
            <w:tcW w:type="dxa" w:w="3052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Forms, sesión y modelos de vista</w:t>
            </w:r>
          </w:p>
        </w:tc>
        <w:tc>
          <w:tcPr>
            <w:tcW w:type="dxa" w:w="5616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Operación interna por roles: préstamos, inventario y administración.</w:t>
            </w:r>
          </w:p>
        </w:tc>
      </w:tr>
      <w:tr>
        <w:tc>
          <w:tcPr>
            <w:tcW w:type="dxa" w:w="1699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4"/>
              </w:rPr>
              <w:t>Consumo API</w:t>
            </w:r>
          </w:p>
        </w:tc>
        <w:tc>
          <w:tcPr>
            <w:tcW w:type="dxa" w:w="3052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ISigebiApiClient / SigebiApiClient y ApiClient</w:t>
            </w:r>
          </w:p>
        </w:tc>
        <w:tc>
          <w:tcPr>
            <w:tcW w:type="dxa" w:w="5616"/>
            <w:tcMar>
              <w:top w:w="38" w:type="dxa"/>
              <w:start w:w="60" w:type="dxa"/>
              <w:bottom w:w="38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Centraliza HTTP, JSON, token, cancelación y traducción de errores.</w:t>
            </w:r>
          </w:p>
        </w:tc>
      </w:tr>
      <w:tr>
        <w:tc>
          <w:tcPr>
            <w:tcW w:type="dxa" w:w="1699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4"/>
              </w:rPr>
              <w:t>Backend</w:t>
            </w:r>
          </w:p>
        </w:tc>
        <w:tc>
          <w:tcPr>
            <w:tcW w:type="dxa" w:w="3052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SIGEBI.API → Application → Domain → Persistence</w:t>
            </w:r>
          </w:p>
        </w:tc>
        <w:tc>
          <w:tcPr>
            <w:tcW w:type="dxa" w:w="5616"/>
            <w:tcMar>
              <w:top w:w="38" w:type="dxa"/>
              <w:start w:w="60" w:type="dxa"/>
              <w:bottom w:w="38" w:type="dxa"/>
              <w:end w:w="6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4"/>
              </w:rPr>
              <w:t>Aplica casos de uso, reglas y persistencia PostgreSQL/Supabase.</w:t>
            </w:r>
          </w:p>
        </w:tc>
      </w:tr>
    </w:tbl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3  </w:t>
      </w:r>
      <w:r>
        <w:rPr>
          <w:rFonts w:ascii="Aptos" w:hAnsi="Aptos"/>
          <w:b/>
          <w:i w:val="0"/>
          <w:color w:val="0B1F44"/>
          <w:sz w:val="21"/>
        </w:rPr>
        <w:t>Diseño de integración y estrategia de consumo</w:t>
      </w:r>
    </w:p>
    <w:p>
      <w:pPr>
        <w:pStyle w:val="ListBullet"/>
        <w:spacing w:after="10"/>
        <w:ind w:left="230" w:hanging="173"/>
      </w:pPr>
      <w:r>
        <w:rPr>
          <w:rFonts w:ascii="Aptos" w:hAnsi="Aptos"/>
          <w:b/>
          <w:i w:val="0"/>
          <w:color w:val="0B1F44"/>
          <w:sz w:val="16"/>
        </w:rPr>
        <w:t xml:space="preserve">Contratos y operaciones. </w:t>
      </w:r>
      <w:r>
        <w:rPr>
          <w:rFonts w:ascii="Aptos" w:hAnsi="Aptos"/>
          <w:b w:val="0"/>
          <w:i w:val="0"/>
          <w:color w:val="111827"/>
          <w:sz w:val="16"/>
        </w:rPr>
        <w:t>DTO de entrada/salida serializados en JSON; GET consulta, POST crea, PUT/PATCH actualiza y DELETE elimina mediante endpoints versionables.</w:t>
      </w:r>
    </w:p>
    <w:p>
      <w:pPr>
        <w:pStyle w:val="ListBullet"/>
        <w:spacing w:after="10"/>
        <w:ind w:left="230" w:hanging="173"/>
      </w:pPr>
      <w:r>
        <w:rPr>
          <w:rFonts w:ascii="Aptos" w:hAnsi="Aptos"/>
          <w:b/>
          <w:i w:val="0"/>
          <w:color w:val="0B1F44"/>
          <w:sz w:val="16"/>
        </w:rPr>
        <w:t xml:space="preserve">Cliente HTTP. </w:t>
      </w:r>
      <w:r>
        <w:rPr>
          <w:rFonts w:ascii="Aptos" w:hAnsi="Aptos"/>
          <w:b w:val="0"/>
          <w:i w:val="0"/>
          <w:color w:val="111827"/>
          <w:sz w:val="16"/>
        </w:rPr>
        <w:t>Web registra HttpClientFactory y un manejador de autenticación; Desktop encapsula HttpClient en ApiClient. Los controladores y Forms no invocan la base de datos.</w:t>
      </w:r>
    </w:p>
    <w:p>
      <w:pPr>
        <w:pStyle w:val="ListBullet"/>
        <w:spacing w:after="10"/>
        <w:ind w:left="230" w:hanging="173"/>
      </w:pPr>
      <w:r>
        <w:rPr>
          <w:rFonts w:ascii="Aptos" w:hAnsi="Aptos"/>
          <w:b/>
          <w:i w:val="0"/>
          <w:color w:val="0B1F44"/>
          <w:sz w:val="16"/>
        </w:rPr>
        <w:t xml:space="preserve">Respuestas y seguridad. </w:t>
      </w:r>
      <w:r>
        <w:rPr>
          <w:rFonts w:ascii="Aptos" w:hAnsi="Aptos"/>
          <w:b w:val="0"/>
          <w:i w:val="0"/>
          <w:color w:val="111827"/>
          <w:sz w:val="16"/>
        </w:rPr>
        <w:t>Se interpretan 200/201/204, 400, 401/403, 404/409 y 500; la sesión usa cookies/JWT, Google OAuth y autorización por rol.</w:t>
      </w:r>
    </w:p>
    <w:p>
      <w:pPr>
        <w:pStyle w:val="ListBullet"/>
        <w:spacing w:after="10"/>
        <w:ind w:left="230" w:hanging="173"/>
      </w:pPr>
      <w:r>
        <w:rPr>
          <w:rFonts w:ascii="Aptos" w:hAnsi="Aptos"/>
          <w:b/>
          <w:i w:val="0"/>
          <w:color w:val="0B1F44"/>
          <w:sz w:val="16"/>
        </w:rPr>
        <w:t xml:space="preserve">Validación y resiliencia. </w:t>
      </w:r>
      <w:r>
        <w:rPr>
          <w:rFonts w:ascii="Aptos" w:hAnsi="Aptos"/>
          <w:b w:val="0"/>
          <w:i w:val="0"/>
          <w:color w:val="111827"/>
          <w:sz w:val="16"/>
        </w:rPr>
        <w:t>Campos requeridos en ViewModels, validación servidor/cliente, mensajes contextuales, CancellationToken, control de timeout y filtro global de excepciones.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"/>
        <w:gridCol w:w="10224"/>
      </w:tblGrid>
      <w:tr>
        <w:trPr>
          <w:tblHeader w:val="true"/>
        </w:trPr>
        <w:tc>
          <w:tcPr>
            <w:tcW w:type="dxa" w:w="144"/>
            <w:shd w:fill="286CF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/>
        </w:tc>
        <w:tc>
          <w:tcPr>
            <w:tcW w:type="dxa" w:w="10224"/>
            <w:shd w:fill="EDF4FF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6"/>
              </w:rPr>
              <w:t xml:space="preserve">Secuencia de una operación: 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acción en UI → Controller/Form → servicio API → lógica Application/Domain → respuesta JSON → actualización de la vista.</w:t>
            </w:r>
          </w:p>
        </w:tc>
      </w:tr>
    </w:tbl>
    <w:p>
      <w:r>
        <w:br w:type="page"/>
      </w:r>
    </w:p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4  </w:t>
      </w:r>
      <w:r>
        <w:rPr>
          <w:rFonts w:ascii="Aptos" w:hAnsi="Aptos"/>
          <w:b/>
          <w:i w:val="0"/>
          <w:color w:val="0B1F44"/>
          <w:sz w:val="21"/>
        </w:rPr>
        <w:t>Evidencia funcional — Aplicación Web</w:t>
      </w:r>
    </w:p>
    <w:p>
      <w:pPr>
        <w:spacing w:after="40"/>
      </w:pPr>
      <w:r>
        <w:rPr>
          <w:rFonts w:ascii="Aptos" w:hAnsi="Aptos"/>
          <w:b/>
          <w:i w:val="0"/>
          <w:color w:val="0B1F44"/>
          <w:sz w:val="16"/>
        </w:rPr>
        <w:t xml:space="preserve">La Web MVC implementa el flujo del usuario final. </w:t>
      </w:r>
      <w:r>
        <w:rPr>
          <w:rFonts w:ascii="Aptos" w:hAnsi="Aptos"/>
          <w:b w:val="0"/>
          <w:i w:val="0"/>
          <w:color w:val="111827"/>
          <w:sz w:val="16"/>
        </w:rPr>
        <w:t>La secuencia inicia con autenticación por correo o Google, registro diferenciado de estudiante/docente y recuperación por enlace SMTP. Después presenta Inicio, Catálogo/Detalle, Solicitudes, Préstamos, Multas, Notificaciones y Mi cuenta; cada pantalla obtiene modelos desde SIGEBI.API a través de ISigebiApiClient.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8047736"/>
            <wp:docPr id="3" name="Picture 3" title="Evidencias de la aplicación Web" descr="Trece capturas ordenadas: login, inicio, catálogo, detalle, solicitudes, préstamos, multas, notificaciones, cuenta, registro, Google y recuperación de contrase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we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804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ptos" w:hAnsi="Aptos"/>
          <w:b w:val="0"/>
          <w:i/>
          <w:color w:val="526580"/>
          <w:sz w:val="14"/>
        </w:rPr>
        <w:t>Figura 2. Recorrido Web en el mismo orden de navegación del sistema; los flujos auxiliares de acceso se muestran al final.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"/>
        <w:gridCol w:w="10224"/>
      </w:tblGrid>
      <w:tr>
        <w:trPr>
          <w:tblHeader w:val="true"/>
        </w:trPr>
        <w:tc>
          <w:tcPr>
            <w:tcW w:type="dxa" w:w="144"/>
            <w:shd w:fill="15A8E5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/>
        </w:tc>
        <w:tc>
          <w:tcPr>
            <w:tcW w:type="dxa" w:w="10224"/>
            <w:shd w:fill="EDF4FF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6"/>
              </w:rPr>
              <w:t xml:space="preserve">Integración demostrada: 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los filtros y el detalle consultan datos reales —descripción y stock—; solicitudes, préstamos, multas y notificaciones reflejan la API. Los formularios validan antes de enviar el DTO y muestran los rechazos del backend mediante componentes reutilizables.</w:t>
            </w:r>
          </w:p>
        </w:tc>
      </w:tr>
    </w:tbl>
    <w:p>
      <w:r>
        <w:br w:type="page"/>
      </w:r>
    </w:p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5  </w:t>
      </w:r>
      <w:r>
        <w:rPr>
          <w:rFonts w:ascii="Aptos" w:hAnsi="Aptos"/>
          <w:b/>
          <w:i w:val="0"/>
          <w:color w:val="0B1F44"/>
          <w:sz w:val="21"/>
        </w:rPr>
        <w:t>Evidencia funcional — Aplicación Desktop</w:t>
      </w:r>
    </w:p>
    <w:p>
      <w:pPr>
        <w:spacing w:after="40"/>
      </w:pPr>
      <w:r>
        <w:rPr>
          <w:rFonts w:ascii="Aptos" w:hAnsi="Aptos"/>
          <w:b/>
          <w:i w:val="0"/>
          <w:color w:val="0B1F44"/>
          <w:sz w:val="16"/>
        </w:rPr>
        <w:t xml:space="preserve">El cliente WinForms cubre la operación interna. </w:t>
      </w:r>
      <w:r>
        <w:rPr>
          <w:rFonts w:ascii="Aptos" w:hAnsi="Aptos"/>
          <w:b w:val="0"/>
          <w:i w:val="0"/>
          <w:color w:val="111827"/>
          <w:sz w:val="16"/>
        </w:rPr>
        <w:t>Tras autenticarse, los perfiles autorizados gestionan solicitudes, préstamos, devoluciones, catálogo, inventario, multas, auditoría, reportes y administración. Los Forms orquestan la interacción y ApiClient concentra la comunicación HTTP y el token JWT.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36208" cy="6270854"/>
            <wp:docPr id="4" name="Picture 4" title="Evidencias de la aplicación Desktop" descr="Once capturas ordenadas: login, inicio, solicitudes, préstamos, devoluciones, catálogo, inventario, multas, auditoría, reportes y admini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desk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627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ptos" w:hAnsi="Aptos"/>
          <w:b w:val="0"/>
          <w:i/>
          <w:color w:val="526580"/>
          <w:sz w:val="14"/>
        </w:rPr>
        <w:t>Figura 3. Recorrido Desktop ordenado según el menú operativo y sus módulos integrados.</w:t>
      </w:r>
    </w:p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6  </w:t>
      </w:r>
      <w:r>
        <w:rPr>
          <w:rFonts w:ascii="Aptos" w:hAnsi="Aptos"/>
          <w:b/>
          <w:i w:val="0"/>
          <w:color w:val="0B1F44"/>
          <w:sz w:val="21"/>
        </w:rPr>
        <w:t>Pruebas funcionales de integración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3E2F8"/>
          <w:left w:val="single" w:sz="5" w:color="D3E2F8"/>
          <w:bottom w:val="single" w:sz="5" w:color="D3E2F8"/>
          <w:right w:val="single" w:sz="5" w:color="D3E2F8"/>
          <w:insideH w:val="single" w:sz="5" w:color="D3E2F8"/>
          <w:insideV w:val="single" w:sz="5" w:color="D3E2F8"/>
        </w:tblBorders>
      </w:tblPr>
      <w:tblGrid>
        <w:gridCol w:w="2016"/>
        <w:gridCol w:w="5688"/>
        <w:gridCol w:w="2664"/>
      </w:tblGrid>
      <w:tr>
        <w:trPr>
          <w:tblHeader w:val="true"/>
        </w:trPr>
        <w:tc>
          <w:tcPr>
            <w:tcW w:type="dxa" w:w="2015"/>
            <w:shd w:fill="0B1F4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Escenario</w:t>
            </w:r>
          </w:p>
        </w:tc>
        <w:tc>
          <w:tcPr>
            <w:tcW w:type="dxa" w:w="5688"/>
            <w:shd w:fill="0B1F4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Comportamiento verificado</w:t>
            </w:r>
          </w:p>
        </w:tc>
        <w:tc>
          <w:tcPr>
            <w:tcW w:type="dxa" w:w="2664"/>
            <w:shd w:fill="0B1F4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015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3"/>
              </w:rPr>
              <w:t>Datos válidos</w:t>
            </w:r>
          </w:p>
        </w:tc>
        <w:tc>
          <w:tcPr>
            <w:tcW w:type="dxa" w:w="5688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UI envía DTO; API procesa el caso de uso y devuelve JSON.</w:t>
            </w:r>
          </w:p>
        </w:tc>
        <w:tc>
          <w:tcPr>
            <w:tcW w:type="dxa" w:w="2664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200/201/204 y actualización visual</w:t>
            </w:r>
          </w:p>
        </w:tc>
      </w:tr>
      <w:tr>
        <w:tc>
          <w:tcPr>
            <w:tcW w:type="dxa" w:w="2015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3"/>
              </w:rPr>
              <w:t>Datos inválidos</w:t>
            </w:r>
          </w:p>
        </w:tc>
        <w:tc>
          <w:tcPr>
            <w:tcW w:type="dxa" w:w="5688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Frontend bloquea requeridos; backend conserva la validación definitiva.</w:t>
            </w:r>
          </w:p>
        </w:tc>
        <w:tc>
          <w:tcPr>
            <w:tcW w:type="dxa" w:w="2664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400 con mensaje contextual</w:t>
            </w:r>
          </w:p>
        </w:tc>
      </w:tr>
      <w:tr>
        <w:tc>
          <w:tcPr>
            <w:tcW w:type="dxa" w:w="2015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3"/>
              </w:rPr>
              <w:t>Ausente/conflicto</w:t>
            </w:r>
          </w:p>
        </w:tc>
        <w:tc>
          <w:tcPr>
            <w:tcW w:type="dxa" w:w="5688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El cliente interpreta recursos inexistentes o estados incompatibles.</w:t>
            </w:r>
          </w:p>
        </w:tc>
        <w:tc>
          <w:tcPr>
            <w:tcW w:type="dxa" w:w="2664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404/409 sin romper la sesión</w:t>
            </w:r>
          </w:p>
        </w:tc>
      </w:tr>
      <w:tr>
        <w:tc>
          <w:tcPr>
            <w:tcW w:type="dxa" w:w="2015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3"/>
              </w:rPr>
              <w:t>API no disponible</w:t>
            </w:r>
          </w:p>
        </w:tc>
        <w:tc>
          <w:tcPr>
            <w:tcW w:type="dxa" w:w="5688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Timeout, excepción HTTP o 5xx se capturan fuera de la vista.</w:t>
            </w:r>
          </w:p>
        </w:tc>
        <w:tc>
          <w:tcPr>
            <w:tcW w:type="dxa" w:w="2664"/>
            <w:tcMar>
              <w:top w:w="28" w:type="dxa"/>
              <w:start w:w="50" w:type="dxa"/>
              <w:bottom w:w="28" w:type="dxa"/>
              <w:end w:w="50" w:type="dxa"/>
            </w:tcMar>
            <w:shd w:fill="F7FA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Aviso recuperable y trazabilidad</w:t>
            </w:r>
          </w:p>
        </w:tc>
      </w:tr>
      <w:tr>
        <w:tc>
          <w:tcPr>
            <w:tcW w:type="dxa" w:w="2015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3"/>
              </w:rPr>
              <w:t>Acceso protegido</w:t>
            </w:r>
          </w:p>
        </w:tc>
        <w:tc>
          <w:tcPr>
            <w:tcW w:type="dxa" w:w="5688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Cookie/JWT y roles restringen módulos y operaciones sensibles.</w:t>
            </w:r>
          </w:p>
        </w:tc>
        <w:tc>
          <w:tcPr>
            <w:tcW w:type="dxa" w:w="2664"/>
            <w:tcMar>
              <w:top w:w="28" w:type="dxa"/>
              <w:start w:w="50" w:type="dxa"/>
              <w:bottom w:w="28" w:type="dxa"/>
              <w:end w:w="5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3"/>
              </w:rPr>
              <w:t>401/403 y navegación segura</w:t>
            </w:r>
          </w:p>
        </w:tc>
      </w:tr>
    </w:tbl>
    <w:p>
      <w:pPr>
        <w:pStyle w:val="Heading1"/>
        <w:spacing w:before="40" w:after="40"/>
      </w:pPr>
      <w:r>
        <w:rPr>
          <w:rFonts w:ascii="Aptos" w:hAnsi="Aptos"/>
          <w:b/>
          <w:i w:val="0"/>
          <w:color w:val="15A8E5"/>
          <w:sz w:val="21"/>
        </w:rPr>
        <w:t xml:space="preserve">7  </w:t>
      </w:r>
      <w:r>
        <w:rPr>
          <w:rFonts w:ascii="Aptos" w:hAnsi="Aptos"/>
          <w:b/>
          <w:i w:val="0"/>
          <w:color w:val="0B1F44"/>
          <w:sz w:val="21"/>
        </w:rPr>
        <w:t>Conclusiones</w:t>
      </w:r>
    </w:p>
    <w:p>
      <w:pPr>
        <w:spacing w:after="20"/>
      </w:pPr>
      <w:r>
        <w:rPr>
          <w:rFonts w:ascii="Aptos" w:hAnsi="Aptos"/>
          <w:b w:val="0"/>
          <w:i w:val="0"/>
          <w:color w:val="111827"/>
          <w:sz w:val="16"/>
        </w:rPr>
        <w:t xml:space="preserve">La integración cumple los lineamientos de separación, consumo mediante servicios, DTO/JSON, tratamiento de estados HTTP, validación en ambos extremos y recorrido UI → API → UI. </w:t>
      </w:r>
      <w:r>
        <w:rPr>
          <w:rFonts w:ascii="Aptos" w:hAnsi="Aptos"/>
          <w:b/>
          <w:i w:val="0"/>
          <w:color w:val="286CF7"/>
          <w:sz w:val="16"/>
        </w:rPr>
        <w:t>Web y Desktop comparten el backend sin acoplarse entre sí ni acceder directamente a Supabase</w:t>
      </w:r>
      <w:r>
        <w:rPr>
          <w:rFonts w:ascii="Aptos" w:hAnsi="Aptos"/>
          <w:b w:val="0"/>
          <w:i w:val="0"/>
          <w:color w:val="111827"/>
          <w:sz w:val="16"/>
        </w:rPr>
        <w:t>, lo que facilita mantenimiento, pruebas y evolución. Las evidencias documentan más de cinco módulos y operaciones completas de consulta y gestión.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"/>
        <w:gridCol w:w="10224"/>
      </w:tblGrid>
      <w:tr>
        <w:trPr>
          <w:tblHeader w:val="true"/>
        </w:trPr>
        <w:tc>
          <w:tcPr>
            <w:tcW w:type="dxa" w:w="144"/>
            <w:shd w:fill="138A5B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/>
        </w:tc>
        <w:tc>
          <w:tcPr>
            <w:tcW w:type="dxa" w:w="10224"/>
            <w:shd w:fill="EDF4FF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1F44"/>
                <w:sz w:val="16"/>
              </w:rPr>
              <w:t xml:space="preserve">Resultado final: 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capa de presentación integrada, trazable y alineada con la arquitectura limpia de SIGEBI-NE.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05" w:right="936" w:bottom="605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526580"/>
        <w:sz w:val="14"/>
      </w:rPr>
      <w:t xml:space="preserve">SIGEBI-NE  ·  Integración de Presentación con API  ·  </w:t>
    </w:r>
    <w:r>
      <w:fldChar w:fldCharType="begin"/>
      <w:instrText xml:space="preserve">PAGE</w:instrText>
      <w:fldChar w:fldCharType="end"/>
    </w:r>
    <w:r>
      <w:rPr>
        <w:rFonts w:ascii="Aptos" w:hAnsi="Aptos"/>
        <w:b w:val="0"/>
        <w:i w:val="0"/>
        <w:color w:val="526580"/>
        <w:sz w:val="14"/>
      </w:rPr>
      <w:t xml:space="preserve"> /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286CF7"/>
        <w:sz w:val="14"/>
      </w:rPr>
      <w:t>PROGRAMACIÓN II  /  CAPA DE PRESENTACIÓN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11182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4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"/>
      <w:contextualSpacing/>
    </w:pPr>
    <w:rPr>
      <w:rFonts w:ascii="Aptos" w:hAnsi="Apto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"/>
      <w:contextualSpacing/>
    </w:pPr>
    <w:rPr>
      <w:rFonts w:ascii="Aptos" w:hAnsi="Aptos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la Capa de Presentación - SIGEBI-NE</dc:title>
  <dc:subject>Integración de la capa de presentación Web y Desktop con SIGEBI.API</dc:subject>
  <dc:creator>Bryant Rainieris Romano Peña; Stanley Camacho Abreu</dc:creator>
  <cp:keywords>SIGEBI, presentación, API, ASP.NET Core MVC, WinForms, DTO, HttpClient</cp:keywords>
  <dc:description>Informe técnico final elaborado según los lineamientos de la asignatura Programación II.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