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</w:pPr>
      <w:r>
        <w:rPr>
          <w:rFonts w:ascii="Calibri" w:hAnsi="Calibri"/>
          <w:b/>
          <w:color w:val="286CF7"/>
          <w:sz w:val="16"/>
        </w:rPr>
        <w:t>INFORME TÉCNICO · ENTREGA FINAL</w:t>
      </w:r>
    </w:p>
    <w:p>
      <w:pPr>
        <w:spacing w:after="40"/>
      </w:pPr>
      <w:r>
        <w:rPr>
          <w:rFonts w:ascii="Calibri" w:hAnsi="Calibri"/>
          <w:b/>
          <w:color w:val="0B1F44"/>
          <w:sz w:val="37"/>
        </w:rPr>
        <w:t>Integración de la capa de aplicación con la capa de presentación</w:t>
      </w:r>
    </w:p>
    <w:p>
      <w:pPr>
        <w:spacing w:after="100"/>
      </w:pPr>
      <w:r>
        <w:rPr>
          <w:rFonts w:ascii="Calibri" w:hAnsi="Calibri"/>
          <w:b/>
          <w:color w:val="164FBF"/>
          <w:sz w:val="21"/>
        </w:rPr>
        <w:t>Sistema de Gestión Bibliotecaria SIGEBI — Librería Nueva Era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4680"/>
        <w:gridCol w:w="4680"/>
      </w:tblGrid>
      <w:tr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shd w:fill="EEF5FF"/>
          </w:tcPr>
          <w:p>
            <w:pPr>
              <w:spacing w:after="0"/>
            </w:pPr>
            <w:r>
              <w:rPr>
                <w:rFonts w:ascii="Calibri" w:hAnsi="Calibri"/>
                <w:b/>
                <w:color w:val="0B1F44"/>
                <w:sz w:val="16"/>
              </w:rPr>
              <w:t>Bryant Rainieris Romano Peña · 2025-2270</w:t>
            </w:r>
          </w:p>
        </w:tc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shd w:fill="E0EDFF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164FBF"/>
                <w:sz w:val="16"/>
              </w:rPr>
              <w:t>Presentación Web</w:t>
            </w:r>
          </w:p>
        </w:tc>
      </w:tr>
      <w:tr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shd w:fill="EEF5FF"/>
          </w:tcPr>
          <w:p>
            <w:pPr>
              <w:spacing w:after="0"/>
            </w:pPr>
            <w:r>
              <w:rPr>
                <w:rFonts w:ascii="Calibri" w:hAnsi="Calibri"/>
                <w:b/>
                <w:color w:val="0B1F44"/>
                <w:sz w:val="16"/>
              </w:rPr>
              <w:t>Stanley Camacho Abreu · 2025-2271</w:t>
            </w:r>
          </w:p>
        </w:tc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shd w:fill="E0EDFF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164FBF"/>
                <w:sz w:val="16"/>
              </w:rPr>
              <w:t>Presentación Desktop</w:t>
            </w:r>
          </w:p>
        </w:tc>
      </w:tr>
    </w:tbl>
    <w:p>
      <w:pPr>
        <w:pStyle w:val="Heading1"/>
        <w:keepNext/>
      </w:pPr>
      <w:r>
        <w:t>1. Objetivo y alcance</w:t>
      </w:r>
    </w:p>
    <w:p>
      <w:pPr>
        <w:spacing w:before="0" w:after="80" w:line="252" w:lineRule="auto"/>
      </w:pPr>
      <w:r>
        <w:rPr>
          <w:rFonts w:ascii="Calibri" w:hAnsi="Calibri"/>
          <w:b w:val="0"/>
          <w:color w:val="0B1F44"/>
          <w:sz w:val="18"/>
        </w:rPr>
        <w:t>La solución integra dos interfaces —Web para estudiantes/docentes y Desktop para el personal— con SIGEBI.API. La presentación orquesta la interacción y delega las reglas de negocio a la capa de aplicación mediante DTOs y servicios HTTP, manteniendo el acceso a Supabase exclusivamente en persistencia.</w:t>
      </w:r>
    </w:p>
    <w:p>
      <w:pPr>
        <w:spacing w:before="40" w:after="40"/>
        <w:jc w:val="center"/>
      </w:pPr>
      <w:r>
        <w:drawing>
          <wp:inline xmlns:a="http://schemas.openxmlformats.org/drawingml/2006/main" xmlns:pic="http://schemas.openxmlformats.org/drawingml/2006/picture">
            <wp:extent cx="6537960" cy="2034032"/>
            <wp:docPr id="1" name="Picture 1" descr="Diagrama de arquitectura lógica: usuario, interfaz, controladores o formularios, clientes HTTP, API y capas de aplicación y datos." title="Diagrama de arquitectura lógica: usuario, interfaz, controladores o formularios, clientes HTTP, API y capas de aplicación y datos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rquitectura-presentacion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537960" cy="203403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spacing w:before="0" w:after="80"/>
        <w:jc w:val="center"/>
      </w:pPr>
      <w:r>
        <w:rPr>
          <w:rFonts w:ascii="Calibri" w:hAnsi="Calibri"/>
          <w:b w:val="0"/>
          <w:color w:val="5B6B83"/>
          <w:sz w:val="15"/>
        </w:rPr>
        <w:t>Figura 1. Flujo obligatorio Usuario → UI → lógica de presentación → servicios API → backend.</w:t>
      </w:r>
    </w:p>
    <w:p>
      <w:pPr>
        <w:pStyle w:val="Heading1"/>
        <w:keepNext/>
      </w:pPr>
      <w:r>
        <w:t>2. Componentes y responsabilidades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1800"/>
        <w:gridCol w:w="4536"/>
        <w:gridCol w:w="3024"/>
      </w:tblGrid>
      <w:tr>
        <w:trPr>
          <w:tblHeader w:val="true"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shd w:fill="164FBF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6"/>
              </w:rPr>
              <w:t>Componente</w:t>
            </w:r>
          </w:p>
        </w:tc>
        <w:tc>
          <w:tcPr>
            <w:tcW w:type="dxa" w:w="4536"/>
            <w:tcMar>
              <w:top w:w="80" w:type="dxa"/>
              <w:start w:w="120" w:type="dxa"/>
              <w:bottom w:w="80" w:type="dxa"/>
              <w:end w:w="120" w:type="dxa"/>
            </w:tcMar>
            <w:shd w:fill="164FBF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6"/>
              </w:rPr>
              <w:t>Implementación integrada</w:t>
            </w:r>
          </w:p>
        </w:tc>
        <w:tc>
          <w:tcPr>
            <w:tcW w:type="dxa" w:w="3024"/>
            <w:tcMar>
              <w:top w:w="80" w:type="dxa"/>
              <w:start w:w="120" w:type="dxa"/>
              <w:bottom w:w="80" w:type="dxa"/>
              <w:end w:w="120" w:type="dxa"/>
            </w:tcMar>
            <w:shd w:fill="164FBF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6"/>
              </w:rPr>
              <w:t>Responsabilidad</w:t>
            </w:r>
          </w:p>
        </w:tc>
      </w:tr>
      <w:tr>
        <w:tc>
          <w:tcPr>
            <w:tcW w:type="dxa" w:w="1800"/>
            <w:shd w:fill="F7FAFF"/>
          </w:tcPr>
          <w:p>
            <w:pPr>
              <w:spacing w:after="0"/>
            </w:pPr>
            <w:r>
              <w:rPr>
                <w:rFonts w:ascii="Calibri" w:hAnsi="Calibri"/>
                <w:b/>
                <w:color w:val="0B1F44"/>
                <w:sz w:val="15"/>
              </w:rPr>
              <w:t>Web MVC</w:t>
            </w:r>
          </w:p>
        </w:tc>
        <w:tc>
          <w:tcPr>
            <w:tcW w:type="dxa" w:w="4536"/>
            <w:shd w:fill="F7FAFF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0B1F44"/>
                <w:sz w:val="15"/>
              </w:rPr>
              <w:t>Razor Views + Controllers + ViewModels</w:t>
            </w:r>
          </w:p>
        </w:tc>
        <w:tc>
          <w:tcPr>
            <w:tcW w:type="dxa" w:w="3024"/>
            <w:shd w:fill="F7FAFF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0B1F44"/>
                <w:sz w:val="15"/>
              </w:rPr>
              <w:t>Bryant: experiencia del usuario</w:t>
            </w:r>
          </w:p>
        </w:tc>
      </w:tr>
      <w:tr>
        <w:tc>
          <w:tcPr>
            <w:tcW w:type="dxa" w:w="1800"/>
            <w:shd w:fill="FFFFFF"/>
          </w:tcPr>
          <w:p>
            <w:pPr>
              <w:spacing w:after="0"/>
            </w:pPr>
            <w:r>
              <w:rPr>
                <w:rFonts w:ascii="Calibri" w:hAnsi="Calibri"/>
                <w:b/>
                <w:color w:val="0B1F44"/>
                <w:sz w:val="15"/>
              </w:rPr>
              <w:t>Desktop</w:t>
            </w:r>
          </w:p>
        </w:tc>
        <w:tc>
          <w:tcPr>
            <w:tcW w:type="dxa" w:w="4536"/>
            <w:shd w:fill="FFFFFF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0B1F44"/>
                <w:sz w:val="15"/>
              </w:rPr>
              <w:t>Windows Forms + ApiClient + sesión JWT</w:t>
            </w:r>
          </w:p>
        </w:tc>
        <w:tc>
          <w:tcPr>
            <w:tcW w:type="dxa" w:w="3024"/>
            <w:shd w:fill="FFFFFF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0B1F44"/>
                <w:sz w:val="15"/>
              </w:rPr>
              <w:t>Stanley: operación del personal</w:t>
            </w:r>
          </w:p>
        </w:tc>
      </w:tr>
      <w:tr>
        <w:tc>
          <w:tcPr>
            <w:tcW w:type="dxa" w:w="1800"/>
            <w:shd w:fill="F7FAFF"/>
          </w:tcPr>
          <w:p>
            <w:pPr>
              <w:spacing w:after="0"/>
            </w:pPr>
            <w:r>
              <w:rPr>
                <w:rFonts w:ascii="Calibri" w:hAnsi="Calibri"/>
                <w:b/>
                <w:color w:val="0B1F44"/>
                <w:sz w:val="15"/>
              </w:rPr>
              <w:t>Servicios HTTP</w:t>
            </w:r>
          </w:p>
        </w:tc>
        <w:tc>
          <w:tcPr>
            <w:tcW w:type="dxa" w:w="4536"/>
            <w:shd w:fill="F7FAFF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0B1F44"/>
                <w:sz w:val="15"/>
              </w:rPr>
              <w:t>ISigebiApiClient / SigebiApiClient y ApiClient</w:t>
            </w:r>
          </w:p>
        </w:tc>
        <w:tc>
          <w:tcPr>
            <w:tcW w:type="dxa" w:w="3024"/>
            <w:shd w:fill="F7FAFF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0B1F44"/>
                <w:sz w:val="15"/>
              </w:rPr>
              <w:t>Encapsulan JSON, tokens y errores</w:t>
            </w:r>
          </w:p>
        </w:tc>
      </w:tr>
      <w:tr>
        <w:tc>
          <w:tcPr>
            <w:tcW w:type="dxa" w:w="1800"/>
            <w:shd w:fill="FFFFFF"/>
          </w:tcPr>
          <w:p>
            <w:pPr>
              <w:spacing w:after="0"/>
            </w:pPr>
            <w:r>
              <w:rPr>
                <w:rFonts w:ascii="Calibri" w:hAnsi="Calibri"/>
                <w:b/>
                <w:color w:val="0B1F44"/>
                <w:sz w:val="15"/>
              </w:rPr>
              <w:t>Backend</w:t>
            </w:r>
          </w:p>
        </w:tc>
        <w:tc>
          <w:tcPr>
            <w:tcW w:type="dxa" w:w="4536"/>
            <w:shd w:fill="FFFFFF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0B1F44"/>
                <w:sz w:val="15"/>
              </w:rPr>
              <w:t>SIGEBI.API → Application → Domain → Persistence</w:t>
            </w:r>
          </w:p>
        </w:tc>
        <w:tc>
          <w:tcPr>
            <w:tcW w:type="dxa" w:w="3024"/>
            <w:shd w:fill="FFFFFF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0B1F44"/>
                <w:sz w:val="15"/>
              </w:rPr>
              <w:t>Reglas, transacciones y acceso a Supabase</w:t>
            </w:r>
          </w:p>
        </w:tc>
      </w:tr>
    </w:tbl>
    <w:p>
      <w:pPr>
        <w:spacing w:before="0" w:after="0" w:line="252" w:lineRule="auto"/>
      </w:pPr>
      <w:r>
        <w:rPr>
          <w:rFonts w:ascii="Calibri" w:hAnsi="Calibri"/>
          <w:b/>
          <w:color w:val="0B1F44"/>
          <w:sz w:val="18"/>
        </w:rPr>
        <w:t>Desacoplamiento:</w:t>
      </w:r>
      <w:r>
        <w:rPr>
          <w:rFonts w:ascii="Calibri" w:hAnsi="Calibri"/>
          <w:b w:val="0"/>
          <w:color w:val="0B1F44"/>
          <w:sz w:val="18"/>
        </w:rPr>
        <w:t xml:space="preserve"> los Controllers y Forms no construyen llamadas HTTP directas; dependen de servicios de consumo registrados por inyección de dependencias. Los ViewModels adaptan los DTOs a cada pantalla y evitan exponer entidades de dominio.</w:t>
      </w:r>
    </w:p>
    <w:p>
      <w:r>
        <w:br w:type="page"/>
      </w:r>
    </w:p>
    <w:p>
      <w:pPr>
        <w:spacing w:before="0" w:after="40"/>
      </w:pPr>
      <w:r>
        <w:rPr>
          <w:rFonts w:ascii="Calibri" w:hAnsi="Calibri"/>
          <w:b/>
          <w:color w:val="286CF7"/>
          <w:sz w:val="16"/>
        </w:rPr>
        <w:t>DISEÑO DE INTEGRACIÓN</w:t>
      </w:r>
    </w:p>
    <w:p>
      <w:pPr>
        <w:pStyle w:val="Heading1"/>
        <w:keepNext/>
      </w:pPr>
      <w:r>
        <w:t>3. Estrategia de consumo de API</w:t>
      </w:r>
    </w:p>
    <w:p>
      <w:pPr>
        <w:spacing w:before="0" w:after="80" w:line="252" w:lineRule="auto"/>
      </w:pPr>
      <w:r>
        <w:rPr>
          <w:rFonts w:ascii="Calibri" w:hAnsi="Calibri"/>
          <w:b w:val="0"/>
          <w:color w:val="0B1F44"/>
          <w:sz w:val="18"/>
        </w:rPr>
        <w:t>Web utiliza HttpClientFactory mediante ISigebiApiClient/SigebiApiClient; Desktop utiliza ApiClient. Ambos serializan JSON, propagan CancellationToken, adjuntan JWT cuando corresponde y traducen códigos 200/201, 400, 401/403, 404/409 y 500 a resultados comprensibles para la interfaz. ApiAuthenticationHandler centraliza el token y ApiExceptionFilter uniforma fallos en MVC.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2015"/>
        <w:gridCol w:w="3240"/>
        <w:gridCol w:w="4104"/>
      </w:tblGrid>
      <w:tr>
        <w:trPr>
          <w:tblHeader w:val="true"/>
        </w:trPr>
        <w:tc>
          <w:tcPr>
            <w:tcW w:type="dxa" w:w="2015"/>
            <w:tcMar>
              <w:top w:w="80" w:type="dxa"/>
              <w:start w:w="120" w:type="dxa"/>
              <w:bottom w:w="80" w:type="dxa"/>
              <w:end w:w="120" w:type="dxa"/>
            </w:tcMar>
            <w:shd w:fill="164FBF"/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Módulo</w:t>
            </w:r>
          </w:p>
        </w:tc>
        <w:tc>
          <w:tcPr>
            <w:tcW w:type="dxa" w:w="3240"/>
            <w:tcMar>
              <w:top w:w="80" w:type="dxa"/>
              <w:start w:w="120" w:type="dxa"/>
              <w:bottom w:w="80" w:type="dxa"/>
              <w:end w:w="120" w:type="dxa"/>
            </w:tcMar>
            <w:shd w:fill="164FBF"/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Métodos / endpoints</w:t>
            </w:r>
          </w:p>
        </w:tc>
        <w:tc>
          <w:tcPr>
            <w:tcW w:type="dxa" w:w="4104"/>
            <w:tcMar>
              <w:top w:w="80" w:type="dxa"/>
              <w:start w:w="120" w:type="dxa"/>
              <w:bottom w:w="80" w:type="dxa"/>
              <w:end w:w="120" w:type="dxa"/>
            </w:tcMar>
            <w:shd w:fill="164FBF"/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Respuesta y presentación</w:t>
            </w:r>
          </w:p>
        </w:tc>
      </w:tr>
      <w:tr>
        <w:tc>
          <w:tcPr>
            <w:tcW w:type="dxa" w:w="2015"/>
            <w:shd w:fill="F4F8FF"/>
          </w:tcPr>
          <w:p>
            <w:pPr>
              <w:spacing w:after="0"/>
            </w:pPr>
            <w:r>
              <w:rPr>
                <w:rFonts w:ascii="Calibri" w:hAnsi="Calibri"/>
                <w:b/>
                <w:color w:val="0B1F44"/>
                <w:sz w:val="15"/>
              </w:rPr>
              <w:t>Autenticación</w:t>
            </w:r>
          </w:p>
        </w:tc>
        <w:tc>
          <w:tcPr>
            <w:tcW w:type="dxa" w:w="3240"/>
            <w:shd w:fill="F4F8FF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0B1F44"/>
                <w:sz w:val="15"/>
              </w:rPr>
              <w:t>POST login/registro; OAuth Google</w:t>
            </w:r>
          </w:p>
        </w:tc>
        <w:tc>
          <w:tcPr>
            <w:tcW w:type="dxa" w:w="4104"/>
            <w:shd w:fill="F4F8FF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0B1F44"/>
                <w:sz w:val="15"/>
              </w:rPr>
              <w:t>Cookie/JWT, roles y mensajes seguros</w:t>
            </w:r>
          </w:p>
        </w:tc>
      </w:tr>
      <w:tr>
        <w:tc>
          <w:tcPr>
            <w:tcW w:type="dxa" w:w="2015"/>
            <w:shd w:fill="FFFFFF"/>
          </w:tcPr>
          <w:p>
            <w:pPr>
              <w:spacing w:after="0"/>
            </w:pPr>
            <w:r>
              <w:rPr>
                <w:rFonts w:ascii="Calibri" w:hAnsi="Calibri"/>
                <w:b/>
                <w:color w:val="0B1F44"/>
                <w:sz w:val="15"/>
              </w:rPr>
              <w:t>Catálogo e inventario</w:t>
            </w:r>
          </w:p>
        </w:tc>
        <w:tc>
          <w:tcPr>
            <w:tcW w:type="dxa" w:w="3240"/>
            <w:shd w:fill="FFFFFF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0B1F44"/>
                <w:sz w:val="15"/>
              </w:rPr>
              <w:t>GET libros/detalle/ejemplares</w:t>
            </w:r>
          </w:p>
        </w:tc>
        <w:tc>
          <w:tcPr>
            <w:tcW w:type="dxa" w:w="4104"/>
            <w:shd w:fill="FFFFFF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0B1F44"/>
                <w:sz w:val="15"/>
              </w:rPr>
              <w:t>Filtros, descripción y disponibilidad real</w:t>
            </w:r>
          </w:p>
        </w:tc>
      </w:tr>
      <w:tr>
        <w:tc>
          <w:tcPr>
            <w:tcW w:type="dxa" w:w="2015"/>
            <w:shd w:fill="F4F8FF"/>
          </w:tcPr>
          <w:p>
            <w:pPr>
              <w:spacing w:after="0"/>
            </w:pPr>
            <w:r>
              <w:rPr>
                <w:rFonts w:ascii="Calibri" w:hAnsi="Calibri"/>
                <w:b/>
                <w:color w:val="0B1F44"/>
                <w:sz w:val="15"/>
              </w:rPr>
              <w:t>Solicitudes y préstamos</w:t>
            </w:r>
          </w:p>
        </w:tc>
        <w:tc>
          <w:tcPr>
            <w:tcW w:type="dxa" w:w="3240"/>
            <w:shd w:fill="F4F8FF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0B1F44"/>
                <w:sz w:val="15"/>
              </w:rPr>
              <w:t>GET + POST + PUT/PATCH</w:t>
            </w:r>
          </w:p>
        </w:tc>
        <w:tc>
          <w:tcPr>
            <w:tcW w:type="dxa" w:w="4104"/>
            <w:shd w:fill="F4F8FF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0B1F44"/>
                <w:sz w:val="15"/>
              </w:rPr>
              <w:t>Crear, aprobar, cancelar, prestar y devolver</w:t>
            </w:r>
          </w:p>
        </w:tc>
      </w:tr>
      <w:tr>
        <w:tc>
          <w:tcPr>
            <w:tcW w:type="dxa" w:w="2015"/>
            <w:shd w:fill="FFFFFF"/>
          </w:tcPr>
          <w:p>
            <w:pPr>
              <w:spacing w:after="0"/>
            </w:pPr>
            <w:r>
              <w:rPr>
                <w:rFonts w:ascii="Calibri" w:hAnsi="Calibri"/>
                <w:b/>
                <w:color w:val="0B1F44"/>
                <w:sz w:val="15"/>
              </w:rPr>
              <w:t>Multas/notificaciones</w:t>
            </w:r>
          </w:p>
        </w:tc>
        <w:tc>
          <w:tcPr>
            <w:tcW w:type="dxa" w:w="3240"/>
            <w:shd w:fill="FFFFFF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0B1F44"/>
                <w:sz w:val="15"/>
              </w:rPr>
              <w:t>GET + PATCH</w:t>
            </w:r>
          </w:p>
        </w:tc>
        <w:tc>
          <w:tcPr>
            <w:tcW w:type="dxa" w:w="4104"/>
            <w:shd w:fill="FFFFFF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0B1F44"/>
                <w:sz w:val="15"/>
              </w:rPr>
              <w:t>Montos, estados y lectura de avisos</w:t>
            </w:r>
          </w:p>
        </w:tc>
      </w:tr>
      <w:tr>
        <w:tc>
          <w:tcPr>
            <w:tcW w:type="dxa" w:w="2015"/>
            <w:shd w:fill="F4F8FF"/>
          </w:tcPr>
          <w:p>
            <w:pPr>
              <w:spacing w:after="0"/>
            </w:pPr>
            <w:r>
              <w:rPr>
                <w:rFonts w:ascii="Calibri" w:hAnsi="Calibri"/>
                <w:b/>
                <w:color w:val="0B1F44"/>
                <w:sz w:val="15"/>
              </w:rPr>
              <w:t>Administración</w:t>
            </w:r>
          </w:p>
        </w:tc>
        <w:tc>
          <w:tcPr>
            <w:tcW w:type="dxa" w:w="3240"/>
            <w:shd w:fill="F4F8FF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0B1F44"/>
                <w:sz w:val="15"/>
              </w:rPr>
              <w:t>GET/POST/PUT/DELETE</w:t>
            </w:r>
          </w:p>
        </w:tc>
        <w:tc>
          <w:tcPr>
            <w:tcW w:type="dxa" w:w="4104"/>
            <w:shd w:fill="F4F8FF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0B1F44"/>
                <w:sz w:val="15"/>
              </w:rPr>
              <w:t>Usuarios, roles, inventario, auditoría y reportes</w:t>
            </w:r>
          </w:p>
        </w:tc>
      </w:tr>
    </w:tbl>
    <w:p>
      <w:pPr>
        <w:spacing w:before="40" w:after="40"/>
        <w:jc w:val="center"/>
      </w:pPr>
      <w:r>
        <w:drawing>
          <wp:inline xmlns:a="http://schemas.openxmlformats.org/drawingml/2006/main" xmlns:pic="http://schemas.openxmlformats.org/drawingml/2006/picture">
            <wp:extent cx="6537960" cy="4721860"/>
            <wp:docPr id="2" name="Picture 2" descr="Collage de la presentación Web con acceso, tablero, catálogo, préstamos y multas." title="Collage de la presentación Web con acceso, tablero, catálogo, préstamos y multas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videncia-web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537960" cy="47218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spacing w:before="0" w:after="80"/>
        <w:jc w:val="center"/>
      </w:pPr>
      <w:r>
        <w:rPr>
          <w:rFonts w:ascii="Calibri" w:hAnsi="Calibri"/>
          <w:b w:val="0"/>
          <w:color w:val="5B6B83"/>
          <w:sz w:val="15"/>
        </w:rPr>
        <w:t>Figura 2. Módulos Web integrados con datos y operaciones provistos por SIGEBI.API.</w:t>
      </w:r>
    </w:p>
    <w:p>
      <w:pPr>
        <w:spacing w:before="0" w:after="0" w:line="252" w:lineRule="auto"/>
      </w:pPr>
      <w:r>
        <w:rPr>
          <w:rFonts w:ascii="Calibri" w:hAnsi="Calibri"/>
          <w:b/>
          <w:color w:val="0B1F44"/>
          <w:sz w:val="18"/>
        </w:rPr>
        <w:t>Flujo técnico:</w:t>
      </w:r>
      <w:r>
        <w:rPr>
          <w:rFonts w:ascii="Calibri" w:hAnsi="Calibri"/>
          <w:b w:val="0"/>
          <w:color w:val="0B1F44"/>
          <w:sz w:val="18"/>
        </w:rPr>
        <w:t xml:space="preserve"> la acción del usuario activa un Controller; este invoca el cliente API con un DTO; la API ejecuta servicios de aplicación y devuelve JSON; el Controller selecciona View/Redirect y Razor renderiza el resultado. Partial Views reutilizan alertas, validaciones y componentes de estado.</w:t>
      </w:r>
    </w:p>
    <w:p>
      <w:r>
        <w:br w:type="page"/>
      </w:r>
    </w:p>
    <w:p>
      <w:pPr>
        <w:spacing w:before="0" w:after="40"/>
      </w:pPr>
      <w:r>
        <w:rPr>
          <w:rFonts w:ascii="Calibri" w:hAnsi="Calibri"/>
          <w:b/>
          <w:color w:val="286CF7"/>
          <w:sz w:val="16"/>
        </w:rPr>
        <w:t>EVIDENCIA Y VERIFICACIÓN</w:t>
      </w:r>
    </w:p>
    <w:p>
      <w:pPr>
        <w:pStyle w:val="Heading1"/>
        <w:keepNext/>
      </w:pPr>
      <w:r>
        <w:t>4. Integración Desktop y cobertura funcional</w:t>
      </w:r>
    </w:p>
    <w:p>
      <w:pPr>
        <w:spacing w:before="0" w:after="80" w:line="252" w:lineRule="auto"/>
      </w:pPr>
      <w:r>
        <w:rPr>
          <w:rFonts w:ascii="Calibri" w:hAnsi="Calibri"/>
          <w:b w:val="0"/>
          <w:color w:val="0B1F44"/>
          <w:sz w:val="18"/>
        </w:rPr>
        <w:t>La aplicación de escritorio consume la misma API y aplica autorización por rol (Administrador, Bibliotecario y Auditor). El panel centraliza solicitudes, préstamos, devoluciones, catálogo, inventario, multas, auditoría, reportes y administración, sin duplicar reglas de negocio en los formularios.</w:t>
      </w:r>
    </w:p>
    <w:p>
      <w:pPr>
        <w:spacing w:before="40" w:after="40"/>
        <w:jc w:val="center"/>
      </w:pPr>
      <w:r>
        <w:drawing>
          <wp:inline xmlns:a="http://schemas.openxmlformats.org/drawingml/2006/main" xmlns:pic="http://schemas.openxmlformats.org/drawingml/2006/picture">
            <wp:extent cx="6537960" cy="3559556"/>
            <wp:docPr id="3" name="Picture 3" descr="Collage de la presentación Desktop con el panel del personal y la gestión de préstamos." title="Collage de la presentación Desktop con el panel del personal y la gestión de préstamos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videncia-desktop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537960" cy="355955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spacing w:before="0" w:after="80"/>
        <w:jc w:val="center"/>
      </w:pPr>
      <w:r>
        <w:rPr>
          <w:rFonts w:ascii="Calibri" w:hAnsi="Calibri"/>
          <w:b w:val="0"/>
          <w:color w:val="5B6B83"/>
          <w:sz w:val="15"/>
        </w:rPr>
        <w:t>Figura 3. Desktop conectado al backend: indicadores operativos y registros reales de préstamos.</w:t>
      </w:r>
    </w:p>
    <w:p>
      <w:pPr>
        <w:pStyle w:val="Heading1"/>
        <w:keepNext/>
      </w:pPr>
      <w:r>
        <w:t>5. Validaciones, errores y pruebas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2232"/>
        <w:gridCol w:w="7128"/>
      </w:tblGrid>
      <w:tr>
        <w:trPr>
          <w:tblHeader w:val="true"/>
        </w:trPr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shd w:fill="164FBF"/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Prueba</w:t>
            </w:r>
          </w:p>
        </w:tc>
        <w:tc>
          <w:tcPr>
            <w:tcW w:type="dxa" w:w="7128"/>
            <w:tcMar>
              <w:top w:w="80" w:type="dxa"/>
              <w:start w:w="120" w:type="dxa"/>
              <w:bottom w:w="80" w:type="dxa"/>
              <w:end w:w="120" w:type="dxa"/>
            </w:tcMar>
            <w:shd w:fill="164FBF"/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Resultado esperado y verificado</w:t>
            </w:r>
          </w:p>
        </w:tc>
      </w:tr>
      <w:tr>
        <w:tc>
          <w:tcPr>
            <w:tcW w:type="dxa" w:w="2232"/>
            <w:shd w:fill="F4F8FF"/>
          </w:tcPr>
          <w:p>
            <w:pPr>
              <w:spacing w:after="0"/>
            </w:pPr>
            <w:r>
              <w:rPr>
                <w:rFonts w:ascii="Calibri" w:hAnsi="Calibri"/>
                <w:b/>
                <w:color w:val="0B1F44"/>
                <w:sz w:val="15"/>
              </w:rPr>
              <w:t>Datos válidos</w:t>
            </w:r>
          </w:p>
        </w:tc>
        <w:tc>
          <w:tcPr>
            <w:tcW w:type="dxa" w:w="7128"/>
            <w:shd w:fill="F4F8FF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0B1F44"/>
                <w:sz w:val="15"/>
              </w:rPr>
              <w:t>La UI envía DTO JSON, la API responde 200/201 y la vista actualiza el estado.</w:t>
            </w:r>
          </w:p>
        </w:tc>
      </w:tr>
      <w:tr>
        <w:tc>
          <w:tcPr>
            <w:tcW w:type="dxa" w:w="2232"/>
            <w:shd w:fill="FFFFFF"/>
          </w:tcPr>
          <w:p>
            <w:pPr>
              <w:spacing w:after="0"/>
            </w:pPr>
            <w:r>
              <w:rPr>
                <w:rFonts w:ascii="Calibri" w:hAnsi="Calibri"/>
                <w:b/>
                <w:color w:val="0B1F44"/>
                <w:sz w:val="15"/>
              </w:rPr>
              <w:t>Datos inválidos</w:t>
            </w:r>
          </w:p>
        </w:tc>
        <w:tc>
          <w:tcPr>
            <w:tcW w:type="dxa" w:w="7128"/>
            <w:shd w:fill="FFFFFF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0B1F44"/>
                <w:sz w:val="15"/>
              </w:rPr>
              <w:t>Validación cliente + backend; 400 se traduce en mensajes de campo o alerta contextual.</w:t>
            </w:r>
          </w:p>
        </w:tc>
      </w:tr>
      <w:tr>
        <w:tc>
          <w:tcPr>
            <w:tcW w:type="dxa" w:w="2232"/>
            <w:shd w:fill="F4F8FF"/>
          </w:tcPr>
          <w:p>
            <w:pPr>
              <w:spacing w:after="0"/>
            </w:pPr>
            <w:r>
              <w:rPr>
                <w:rFonts w:ascii="Calibri" w:hAnsi="Calibri"/>
                <w:b/>
                <w:color w:val="0B1F44"/>
                <w:sz w:val="15"/>
              </w:rPr>
              <w:t>No encontrado / conflicto</w:t>
            </w:r>
          </w:p>
        </w:tc>
        <w:tc>
          <w:tcPr>
            <w:tcW w:type="dxa" w:w="7128"/>
            <w:shd w:fill="F4F8FF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0B1F44"/>
                <w:sz w:val="15"/>
              </w:rPr>
              <w:t>404/409 se muestran sin exponer detalles internos y conservando los datos del formulario.</w:t>
            </w:r>
          </w:p>
        </w:tc>
      </w:tr>
      <w:tr>
        <w:tc>
          <w:tcPr>
            <w:tcW w:type="dxa" w:w="2232"/>
            <w:shd w:fill="FFFFFF"/>
          </w:tcPr>
          <w:p>
            <w:pPr>
              <w:spacing w:after="0"/>
            </w:pPr>
            <w:r>
              <w:rPr>
                <w:rFonts w:ascii="Calibri" w:hAnsi="Calibri"/>
                <w:b/>
                <w:color w:val="0B1F44"/>
                <w:sz w:val="15"/>
              </w:rPr>
              <w:t>API no disponible</w:t>
            </w:r>
          </w:p>
        </w:tc>
        <w:tc>
          <w:tcPr>
            <w:tcW w:type="dxa" w:w="7128"/>
            <w:shd w:fill="FFFFFF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0B1F44"/>
                <w:sz w:val="15"/>
              </w:rPr>
              <w:t>Timeout/5xx se captura en el cliente HTTP y se presenta un mensaje recuperable al usuario.</w:t>
            </w:r>
          </w:p>
        </w:tc>
      </w:tr>
      <w:tr>
        <w:tc>
          <w:tcPr>
            <w:tcW w:type="dxa" w:w="2232"/>
            <w:shd w:fill="F4F8FF"/>
          </w:tcPr>
          <w:p>
            <w:pPr>
              <w:spacing w:after="0"/>
            </w:pPr>
            <w:r>
              <w:rPr>
                <w:rFonts w:ascii="Calibri" w:hAnsi="Calibri"/>
                <w:b/>
                <w:color w:val="0B1F44"/>
                <w:sz w:val="15"/>
              </w:rPr>
              <w:t>Seguridad</w:t>
            </w:r>
          </w:p>
        </w:tc>
        <w:tc>
          <w:tcPr>
            <w:tcW w:type="dxa" w:w="7128"/>
            <w:shd w:fill="F4F8FF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0B1F44"/>
                <w:sz w:val="15"/>
              </w:rPr>
              <w:t>JWT/cookies, autorización por roles y ausencia de acceso directo desde UI a Supabase.</w:t>
            </w:r>
          </w:p>
        </w:tc>
      </w:tr>
    </w:tbl>
    <w:p>
      <w:pPr>
        <w:pStyle w:val="Heading1"/>
        <w:keepNext/>
      </w:pPr>
      <w:r>
        <w:t>6. Conclusiones</w:t>
      </w:r>
    </w:p>
    <w:p>
      <w:pPr>
        <w:spacing w:before="0" w:after="20" w:line="252" w:lineRule="auto"/>
      </w:pPr>
      <w:r>
        <w:rPr>
          <w:rFonts w:ascii="Calibri" w:hAnsi="Calibri"/>
          <w:b w:val="0"/>
          <w:color w:val="0B1F44"/>
          <w:sz w:val="18"/>
        </w:rPr>
        <w:t>La integración cumple el enfoque requerido: interfaces desacopladas, consumo centralizado de endpoints, DTOs, validación distribuida, control de estados HTTP y recorrido completo UI → API → aplicación → persistencia → UI. La Web cubre la experiencia de estudiantes y docentes; Desktop cubre la operación del personal. La evidencia demuestra más de cinco módulos funcionales y una única fuente de datos, lo que mejora mantenibilidad, trazabilidad y consistencia del sistema.</w:t>
      </w:r>
    </w:p>
    <w:p>
      <w:pPr>
        <w:spacing w:before="0" w:after="0" w:line="252" w:lineRule="auto"/>
      </w:pPr>
      <w:r>
        <w:rPr>
          <w:rFonts w:ascii="Calibri" w:hAnsi="Calibri"/>
          <w:b/>
          <w:color w:val="0B1F44"/>
          <w:sz w:val="18"/>
        </w:rPr>
        <w:t>Resultado:</w:t>
      </w:r>
      <w:r>
        <w:rPr>
          <w:rFonts w:ascii="Calibri" w:hAnsi="Calibri"/>
          <w:b w:val="0"/>
          <w:color w:val="0B1F44"/>
          <w:sz w:val="18"/>
        </w:rPr>
        <w:t xml:space="preserve"> la capa de presentación queda preparada para entrega y demostración, con separación clara de responsabilidades y sin acceso directo de las interfaces a la base de datos.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677" w:right="893" w:bottom="648" w:left="893" w:header="317" w:footer="31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/>
      <w:jc w:val="right"/>
    </w:pPr>
    <w:r>
      <w:rPr>
        <w:rFonts w:ascii="Calibri" w:hAnsi="Calibri"/>
        <w:b w:val="0"/>
        <w:color w:val="5B6B83"/>
        <w:sz w:val="14"/>
      </w:rPr>
      <w:t xml:space="preserve">Capa de presentación · Página </w:t>
    </w:r>
    <w:fldSimple w:instr="PAGE"/>
    <w:r>
      <w:rPr>
        <w:rFonts w:ascii="Calibri" w:hAnsi="Calibri"/>
        <w:b w:val="0"/>
        <w:color w:val="5B6B83"/>
        <w:sz w:val="14"/>
      </w:rPr>
      <w:t xml:space="preserve"> de 3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left"/>
    </w:pPr>
    <w:r>
      <w:rPr>
        <w:rFonts w:ascii="Calibri" w:hAnsi="Calibri"/>
        <w:b/>
        <w:color w:val="5B6B83"/>
        <w:sz w:val="15"/>
      </w:rPr>
      <w:t>SIGEBI · Informe técnico de integración | Programación II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52" w:lineRule="auto"/>
    </w:pPr>
    <w:rPr>
      <w:rFonts w:ascii="Calibri" w:hAnsi="Calibri"/>
      <w:color w:val="0B1F44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40" w:after="60"/>
      <w:outlineLvl w:val="0"/>
    </w:pPr>
    <w:rPr>
      <w:rFonts w:asciiTheme="majorHAnsi" w:eastAsiaTheme="majorEastAsia" w:hAnsiTheme="majorHAnsi" w:cstheme="majorBidi" w:ascii="Calibri" w:hAnsi="Calibri"/>
      <w:b/>
      <w:bCs/>
      <w:color w:val="164FBF"/>
      <w:sz w:val="2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00" w:after="40"/>
      <w:outlineLvl w:val="1"/>
    </w:pPr>
    <w:rPr>
      <w:rFonts w:asciiTheme="majorHAnsi" w:eastAsiaTheme="majorEastAsia" w:hAnsiTheme="majorHAnsi" w:cstheme="majorBidi" w:ascii="Calibri" w:hAnsi="Calibri"/>
      <w:b/>
      <w:bCs/>
      <w:color w:val="0B1F44"/>
      <w:sz w:val="2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Calibri" w:hAnsi="Calibri"/>
      <w:b/>
      <w:bCs/>
      <w:i/>
      <w:color w:val="5B6B83"/>
      <w:sz w:val="15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Integración de la capa de aplicación con la capa de presentación — SIGEBI</dc:title>
  <dc:subject>Informe técnico de Programación II</dc:subject>
  <dc:creator>Bryant Rainieris Romano Peña; Stanley Camacho Abreu</dc:creator>
  <cp:keywords>SIGEBI, ASP.NET Core MVC, Windows Forms, API REST, Supabase, capa de presentación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