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695FE" w14:textId="6683C63F" w:rsidR="00D16667" w:rsidRDefault="005C2FB0">
      <w:r>
        <w:t>I would say the top 3 social media platforms for a foodbank would be Facebook, Instagram, and Twitter. These three options are among the most popular platforms today. Using them would give the widest potential outreach and thus the most exposure. They all provide their own ways of promoting posts and have trending features. The main hassle would be finding someone competent to put in charge of the social media accounts. Someone with little to no knowledge would provide little to no benefit to the endeavor.</w:t>
      </w:r>
    </w:p>
    <w:sectPr w:rsidR="00D16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B0"/>
    <w:rsid w:val="005C2FB0"/>
    <w:rsid w:val="00D1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0E4E"/>
  <w15:chartTrackingRefBased/>
  <w15:docId w15:val="{150C8F86-DB78-45FE-9CAB-27E5A362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Moye</dc:creator>
  <cp:keywords/>
  <dc:description/>
  <cp:lastModifiedBy>Brian Moye</cp:lastModifiedBy>
  <cp:revision>1</cp:revision>
  <dcterms:created xsi:type="dcterms:W3CDTF">2020-12-03T01:04:00Z</dcterms:created>
  <dcterms:modified xsi:type="dcterms:W3CDTF">2020-12-03T01:09:00Z</dcterms:modified>
</cp:coreProperties>
</file>