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object w:dxaOrig="9345" w:dyaOrig="1755">
          <v:rect xmlns:o="urn:schemas-microsoft-com:office:office" xmlns:v="urn:schemas-microsoft-com:vml" id="rectole0000000000" style="width:467.250000pt;height:8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Test Case #:INV1.2</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Test Case Name: create invoice</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Subsystem:Invoice</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Short Description: creates an invoice with no information</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Preconditions:at the invoice main page with a new invoice</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click ‘create invoice’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changes page to create invoice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check postconditions 1</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w:t>
            </w:r>
          </w:p>
          <w:p>
            <w:pPr>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1. does not create a invoice in the database with all the information and doesn’t changes inventory. displays and error message for no input for invoice id, customer id, shipping id, attention, payment due, sales tax due, amount paid, date paid.</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