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6665" w:rsidRPr="00C90A37" w:rsidRDefault="00C76665" w:rsidP="00C76665">
      <w:pPr>
        <w:jc w:val="center"/>
        <w:rPr>
          <w:sz w:val="24"/>
          <w:szCs w:val="20"/>
        </w:rPr>
      </w:pPr>
      <w:bookmarkStart w:id="0" w:name="_GoBack"/>
      <w:bookmarkEnd w:id="0"/>
      <w:r w:rsidRPr="00C90A37">
        <w:rPr>
          <w:sz w:val="24"/>
          <w:szCs w:val="20"/>
        </w:rPr>
        <w:t>Catalogue des métriques descriptives des communautés d’insectes</w:t>
      </w:r>
    </w:p>
    <w:p w:rsidR="00C61162" w:rsidRPr="00C90A37" w:rsidRDefault="00C76665" w:rsidP="00C76665">
      <w:pPr>
        <w:jc w:val="center"/>
        <w:rPr>
          <w:sz w:val="24"/>
          <w:szCs w:val="20"/>
        </w:rPr>
      </w:pPr>
      <w:r w:rsidRPr="00C90A37">
        <w:rPr>
          <w:sz w:val="24"/>
          <w:szCs w:val="20"/>
        </w:rPr>
        <w:t>– dataset 2024 Vierzon-Troncais – thèse RB</w:t>
      </w:r>
    </w:p>
    <w:p w:rsidR="00C76665" w:rsidRPr="00C90A37" w:rsidRDefault="00C76665" w:rsidP="00C76665">
      <w:pPr>
        <w:rPr>
          <w:sz w:val="24"/>
          <w:szCs w:val="20"/>
        </w:rPr>
      </w:pPr>
      <w:r w:rsidRPr="00C90A37">
        <w:rPr>
          <w:sz w:val="24"/>
          <w:szCs w:val="20"/>
        </w:rPr>
        <w:t>C. Bouget</w:t>
      </w:r>
    </w:p>
    <w:p w:rsidR="00C76665" w:rsidRPr="00C90A37" w:rsidRDefault="00E529B7" w:rsidP="00C76665">
      <w:pPr>
        <w:rPr>
          <w:sz w:val="20"/>
          <w:szCs w:val="20"/>
        </w:rPr>
      </w:pPr>
      <w:r w:rsidRPr="00C90A37">
        <w:rPr>
          <w:sz w:val="20"/>
          <w:szCs w:val="20"/>
        </w:rPr>
        <w:t xml:space="preserve">Calculs réalisés au </w:t>
      </w:r>
      <w:r w:rsidR="00C80211">
        <w:rPr>
          <w:sz w:val="20"/>
          <w:szCs w:val="20"/>
        </w:rPr>
        <w:t>4</w:t>
      </w:r>
      <w:r w:rsidR="00CC4BF3" w:rsidRPr="00C90A37">
        <w:rPr>
          <w:sz w:val="20"/>
          <w:szCs w:val="20"/>
        </w:rPr>
        <w:t>/04</w:t>
      </w:r>
      <w:r w:rsidR="00D36220" w:rsidRPr="00C90A37">
        <w:rPr>
          <w:sz w:val="20"/>
          <w:szCs w:val="20"/>
        </w:rPr>
        <w:t> : manquent encore des données de retour d’identifs (Ciidae O. Rose, Elateridae scolytinae Histeridae Anobiidae Quillan, mais Scraptiidae et Mordeliidae sont revenus et saisis)</w:t>
      </w:r>
    </w:p>
    <w:p w:rsidR="00D36220" w:rsidRPr="00C90A37" w:rsidRDefault="001C19F9" w:rsidP="00C76665">
      <w:pPr>
        <w:rPr>
          <w:sz w:val="20"/>
          <w:szCs w:val="20"/>
        </w:rPr>
      </w:pPr>
      <w:r w:rsidRPr="001C19F9">
        <w:rPr>
          <w:sz w:val="20"/>
          <w:szCs w:val="20"/>
          <w:highlight w:val="yellow"/>
        </w:rPr>
        <w:t>Calculs refaits au 22/04 (après les retours de toutes les identifs) + par saison d’échantillonnage</w:t>
      </w:r>
    </w:p>
    <w:p w:rsidR="00C76665" w:rsidRPr="00C90A37" w:rsidRDefault="00C76665" w:rsidP="00C76665">
      <w:pPr>
        <w:rPr>
          <w:sz w:val="20"/>
          <w:szCs w:val="20"/>
        </w:rPr>
      </w:pPr>
      <w:r w:rsidRPr="00C90A37">
        <w:rPr>
          <w:sz w:val="20"/>
          <w:szCs w:val="20"/>
        </w:rPr>
        <w:t>Deux tableaux de données, par strate et par arbre :</w:t>
      </w:r>
    </w:p>
    <w:p w:rsidR="00C76665" w:rsidRPr="00C90A37" w:rsidRDefault="00C76665" w:rsidP="00C76665">
      <w:pPr>
        <w:pStyle w:val="Paragraphedeliste"/>
        <w:numPr>
          <w:ilvl w:val="0"/>
          <w:numId w:val="1"/>
        </w:numPr>
        <w:rPr>
          <w:sz w:val="20"/>
          <w:szCs w:val="20"/>
        </w:rPr>
      </w:pPr>
      <w:r w:rsidRPr="00C90A37">
        <w:rPr>
          <w:sz w:val="20"/>
          <w:szCs w:val="20"/>
        </w:rPr>
        <w:t>A l’échelle de chaque saison d’échantillonnage</w:t>
      </w:r>
    </w:p>
    <w:p w:rsidR="00C76665" w:rsidRPr="00C90A37" w:rsidRDefault="00C76665" w:rsidP="00C76665">
      <w:pPr>
        <w:pStyle w:val="Paragraphedeliste"/>
        <w:numPr>
          <w:ilvl w:val="0"/>
          <w:numId w:val="1"/>
        </w:numPr>
        <w:rPr>
          <w:sz w:val="20"/>
          <w:szCs w:val="20"/>
        </w:rPr>
      </w:pPr>
      <w:r w:rsidRPr="00C90A37">
        <w:rPr>
          <w:sz w:val="20"/>
          <w:szCs w:val="20"/>
        </w:rPr>
        <w:t>A l’échelle du cumul sur l’ensemble des saisons de piégeage</w:t>
      </w:r>
    </w:p>
    <w:p w:rsidR="00C76665" w:rsidRPr="00C90A37" w:rsidRDefault="00C76665">
      <w:pPr>
        <w:rPr>
          <w:sz w:val="20"/>
          <w:szCs w:val="20"/>
        </w:rPr>
      </w:pPr>
    </w:p>
    <w:p w:rsidR="00622FC4" w:rsidRPr="00C90A37" w:rsidRDefault="00622FC4">
      <w:pPr>
        <w:rPr>
          <w:color w:val="FF0000"/>
          <w:sz w:val="20"/>
          <w:szCs w:val="20"/>
          <w:lang w:val="en-GB"/>
        </w:rPr>
      </w:pPr>
      <w:r w:rsidRPr="00C90A37">
        <w:rPr>
          <w:color w:val="FF0000"/>
          <w:sz w:val="20"/>
          <w:szCs w:val="20"/>
          <w:lang w:val="en-GB"/>
        </w:rPr>
        <w:t>(prop.trap.season) Cumulative proportion of valid traps over all the sampling seasons</w:t>
      </w:r>
    </w:p>
    <w:p w:rsidR="00622FC4" w:rsidRPr="00C90A37" w:rsidRDefault="00C76665">
      <w:pPr>
        <w:rPr>
          <w:sz w:val="20"/>
          <w:szCs w:val="20"/>
        </w:rPr>
      </w:pPr>
      <w:r w:rsidRPr="00C90A37">
        <w:rPr>
          <w:sz w:val="20"/>
          <w:szCs w:val="20"/>
        </w:rPr>
        <w:t>[</w:t>
      </w:r>
      <w:r w:rsidR="00622FC4" w:rsidRPr="00C90A37">
        <w:rPr>
          <w:sz w:val="20"/>
          <w:szCs w:val="20"/>
        </w:rPr>
        <w:t>À ajouter comme « offset » dans les glmm</w:t>
      </w:r>
      <w:r w:rsidRPr="00C90A37">
        <w:rPr>
          <w:sz w:val="20"/>
          <w:szCs w:val="20"/>
        </w:rPr>
        <w:t>]</w:t>
      </w:r>
    </w:p>
    <w:p w:rsidR="00F8559D" w:rsidRPr="00C90A37" w:rsidRDefault="00E529B7">
      <w:pPr>
        <w:rPr>
          <w:sz w:val="20"/>
          <w:szCs w:val="20"/>
        </w:rPr>
      </w:pPr>
      <w:r w:rsidRPr="00C90A37">
        <w:rPr>
          <w:sz w:val="20"/>
          <w:szCs w:val="20"/>
        </w:rPr>
        <w:t xml:space="preserve">Commentaire : J’ai pondéré cette métrique </w:t>
      </w:r>
      <w:r w:rsidR="00F831AD" w:rsidRPr="00C90A37">
        <w:rPr>
          <w:sz w:val="20"/>
          <w:szCs w:val="20"/>
        </w:rPr>
        <w:t xml:space="preserve">par l’importance productive de </w:t>
      </w:r>
      <w:r w:rsidRPr="00C90A37">
        <w:rPr>
          <w:sz w:val="20"/>
          <w:szCs w:val="20"/>
        </w:rPr>
        <w:t>chaque</w:t>
      </w:r>
      <w:r w:rsidR="00F831AD" w:rsidRPr="00C90A37">
        <w:rPr>
          <w:sz w:val="20"/>
          <w:szCs w:val="20"/>
        </w:rPr>
        <w:t xml:space="preserve"> saison</w:t>
      </w:r>
      <w:r w:rsidRPr="00C90A37">
        <w:rPr>
          <w:sz w:val="20"/>
          <w:szCs w:val="20"/>
        </w:rPr>
        <w:t>. En effet, s’il manque un relevé traditionnellement pauvre, plut</w:t>
      </w:r>
      <w:r w:rsidR="00C80211">
        <w:rPr>
          <w:sz w:val="20"/>
          <w:szCs w:val="20"/>
        </w:rPr>
        <w:t>ô</w:t>
      </w:r>
      <w:r w:rsidRPr="00C90A37">
        <w:rPr>
          <w:sz w:val="20"/>
          <w:szCs w:val="20"/>
        </w:rPr>
        <w:t>t hors saison d’activité de la plupart des espèces, l’effet de son absence sur la productivité du piège sera moindre que la destruction du piège au cours d’une saison très productive.</w:t>
      </w:r>
    </w:p>
    <w:p w:rsidR="00E529B7" w:rsidRPr="00C90A37" w:rsidRDefault="0040221D" w:rsidP="0040221D">
      <w:pPr>
        <w:pStyle w:val="Paragraphedeliste"/>
        <w:numPr>
          <w:ilvl w:val="0"/>
          <w:numId w:val="2"/>
        </w:numPr>
        <w:rPr>
          <w:sz w:val="20"/>
          <w:szCs w:val="20"/>
        </w:rPr>
      </w:pPr>
      <w:r w:rsidRPr="00C90A37">
        <w:rPr>
          <w:sz w:val="20"/>
          <w:szCs w:val="20"/>
        </w:rPr>
        <w:t>Coder en 0/1 la présence/absence d’un relevé pour chaque piège*relevé</w:t>
      </w:r>
    </w:p>
    <w:p w:rsidR="0040221D" w:rsidRPr="00C90A37" w:rsidRDefault="0040221D" w:rsidP="0040221D">
      <w:pPr>
        <w:pStyle w:val="Paragraphedeliste"/>
        <w:numPr>
          <w:ilvl w:val="0"/>
          <w:numId w:val="2"/>
        </w:numPr>
        <w:rPr>
          <w:sz w:val="20"/>
          <w:szCs w:val="20"/>
        </w:rPr>
      </w:pPr>
      <w:r w:rsidRPr="00C90A37">
        <w:rPr>
          <w:sz w:val="20"/>
          <w:szCs w:val="20"/>
        </w:rPr>
        <w:t>Calculer le poids de chaque relevé pour chaque strate</w:t>
      </w:r>
    </w:p>
    <w:tbl>
      <w:tblPr>
        <w:tblW w:w="5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5"/>
        <w:gridCol w:w="1281"/>
        <w:gridCol w:w="835"/>
        <w:gridCol w:w="723"/>
        <w:gridCol w:w="723"/>
        <w:gridCol w:w="723"/>
      </w:tblGrid>
      <w:tr w:rsidR="0040221D" w:rsidRPr="00C90A37" w:rsidTr="0040221D">
        <w:trPr>
          <w:trHeight w:val="57"/>
        </w:trPr>
        <w:tc>
          <w:tcPr>
            <w:tcW w:w="905" w:type="dxa"/>
            <w:shd w:val="clear" w:color="DDEBF7" w:fill="DDEBF7"/>
            <w:noWrap/>
            <w:tcMar>
              <w:top w:w="15" w:type="dxa"/>
              <w:left w:w="15" w:type="dxa"/>
              <w:bottom w:w="0" w:type="dxa"/>
              <w:right w:w="15" w:type="dxa"/>
            </w:tcMar>
            <w:vAlign w:val="bottom"/>
            <w:hideMark/>
          </w:tcPr>
          <w:p w:rsidR="0040221D" w:rsidRPr="00C90A37" w:rsidRDefault="0040221D" w:rsidP="0040221D">
            <w:pPr>
              <w:spacing w:after="0"/>
              <w:rPr>
                <w:rFonts w:ascii="Calibri" w:hAnsi="Calibri" w:cs="Calibri"/>
                <w:b/>
                <w:bCs/>
                <w:color w:val="000000"/>
                <w:sz w:val="20"/>
                <w:szCs w:val="20"/>
              </w:rPr>
            </w:pPr>
            <w:r w:rsidRPr="00C90A37">
              <w:rPr>
                <w:rFonts w:ascii="Calibri" w:hAnsi="Calibri" w:cs="Calibri"/>
                <w:b/>
                <w:bCs/>
                <w:color w:val="000000"/>
                <w:sz w:val="20"/>
                <w:szCs w:val="20"/>
              </w:rPr>
              <w:t>strate</w:t>
            </w:r>
          </w:p>
        </w:tc>
        <w:tc>
          <w:tcPr>
            <w:tcW w:w="1281" w:type="dxa"/>
            <w:shd w:val="clear" w:color="DDEBF7" w:fill="DDEBF7"/>
            <w:noWrap/>
            <w:tcMar>
              <w:top w:w="15" w:type="dxa"/>
              <w:left w:w="15" w:type="dxa"/>
              <w:bottom w:w="0" w:type="dxa"/>
              <w:right w:w="15" w:type="dxa"/>
            </w:tcMar>
            <w:vAlign w:val="bottom"/>
            <w:hideMark/>
          </w:tcPr>
          <w:p w:rsidR="0040221D" w:rsidRPr="00C90A37" w:rsidRDefault="0040221D" w:rsidP="0040221D">
            <w:pPr>
              <w:spacing w:after="0"/>
              <w:rPr>
                <w:rFonts w:ascii="Calibri" w:hAnsi="Calibri" w:cs="Calibri"/>
                <w:b/>
                <w:bCs/>
                <w:color w:val="000000"/>
                <w:sz w:val="20"/>
                <w:szCs w:val="20"/>
              </w:rPr>
            </w:pPr>
            <w:r w:rsidRPr="00C90A37">
              <w:rPr>
                <w:rFonts w:ascii="Calibri" w:hAnsi="Calibri" w:cs="Calibri"/>
                <w:b/>
                <w:bCs/>
                <w:color w:val="000000"/>
                <w:sz w:val="20"/>
                <w:szCs w:val="20"/>
              </w:rPr>
              <w:t>R1</w:t>
            </w:r>
          </w:p>
        </w:tc>
        <w:tc>
          <w:tcPr>
            <w:tcW w:w="835" w:type="dxa"/>
            <w:shd w:val="clear" w:color="DDEBF7" w:fill="DDEBF7"/>
            <w:noWrap/>
            <w:tcMar>
              <w:top w:w="15" w:type="dxa"/>
              <w:left w:w="15" w:type="dxa"/>
              <w:bottom w:w="0" w:type="dxa"/>
              <w:right w:w="15" w:type="dxa"/>
            </w:tcMar>
            <w:vAlign w:val="bottom"/>
            <w:hideMark/>
          </w:tcPr>
          <w:p w:rsidR="0040221D" w:rsidRPr="00C90A37" w:rsidRDefault="0040221D" w:rsidP="0040221D">
            <w:pPr>
              <w:spacing w:after="0"/>
              <w:rPr>
                <w:rFonts w:ascii="Calibri" w:hAnsi="Calibri" w:cs="Calibri"/>
                <w:b/>
                <w:bCs/>
                <w:color w:val="000000"/>
                <w:sz w:val="20"/>
                <w:szCs w:val="20"/>
              </w:rPr>
            </w:pPr>
            <w:r w:rsidRPr="00C90A37">
              <w:rPr>
                <w:rFonts w:ascii="Calibri" w:hAnsi="Calibri" w:cs="Calibri"/>
                <w:b/>
                <w:bCs/>
                <w:color w:val="000000"/>
                <w:sz w:val="20"/>
                <w:szCs w:val="20"/>
              </w:rPr>
              <w:t>R2</w:t>
            </w:r>
          </w:p>
        </w:tc>
        <w:tc>
          <w:tcPr>
            <w:tcW w:w="723" w:type="dxa"/>
            <w:shd w:val="clear" w:color="DDEBF7" w:fill="DDEBF7"/>
            <w:noWrap/>
            <w:tcMar>
              <w:top w:w="15" w:type="dxa"/>
              <w:left w:w="15" w:type="dxa"/>
              <w:bottom w:w="0" w:type="dxa"/>
              <w:right w:w="15" w:type="dxa"/>
            </w:tcMar>
            <w:vAlign w:val="bottom"/>
            <w:hideMark/>
          </w:tcPr>
          <w:p w:rsidR="0040221D" w:rsidRPr="00C90A37" w:rsidRDefault="0040221D" w:rsidP="0040221D">
            <w:pPr>
              <w:spacing w:after="0"/>
              <w:rPr>
                <w:rFonts w:ascii="Calibri" w:hAnsi="Calibri" w:cs="Calibri"/>
                <w:b/>
                <w:bCs/>
                <w:color w:val="000000"/>
                <w:sz w:val="20"/>
                <w:szCs w:val="20"/>
              </w:rPr>
            </w:pPr>
            <w:r w:rsidRPr="00C90A37">
              <w:rPr>
                <w:rFonts w:ascii="Calibri" w:hAnsi="Calibri" w:cs="Calibri"/>
                <w:b/>
                <w:bCs/>
                <w:color w:val="000000"/>
                <w:sz w:val="20"/>
                <w:szCs w:val="20"/>
              </w:rPr>
              <w:t>R3</w:t>
            </w:r>
          </w:p>
        </w:tc>
        <w:tc>
          <w:tcPr>
            <w:tcW w:w="723" w:type="dxa"/>
            <w:shd w:val="clear" w:color="DDEBF7" w:fill="DDEBF7"/>
            <w:noWrap/>
            <w:tcMar>
              <w:top w:w="15" w:type="dxa"/>
              <w:left w:w="15" w:type="dxa"/>
              <w:bottom w:w="0" w:type="dxa"/>
              <w:right w:w="15" w:type="dxa"/>
            </w:tcMar>
            <w:vAlign w:val="bottom"/>
            <w:hideMark/>
          </w:tcPr>
          <w:p w:rsidR="0040221D" w:rsidRPr="00C90A37" w:rsidRDefault="0040221D" w:rsidP="0040221D">
            <w:pPr>
              <w:spacing w:after="0"/>
              <w:rPr>
                <w:rFonts w:ascii="Calibri" w:hAnsi="Calibri" w:cs="Calibri"/>
                <w:b/>
                <w:bCs/>
                <w:color w:val="000000"/>
                <w:sz w:val="20"/>
                <w:szCs w:val="20"/>
              </w:rPr>
            </w:pPr>
            <w:r w:rsidRPr="00C90A37">
              <w:rPr>
                <w:rFonts w:ascii="Calibri" w:hAnsi="Calibri" w:cs="Calibri"/>
                <w:b/>
                <w:bCs/>
                <w:color w:val="000000"/>
                <w:sz w:val="20"/>
                <w:szCs w:val="20"/>
              </w:rPr>
              <w:t>R4</w:t>
            </w:r>
          </w:p>
        </w:tc>
        <w:tc>
          <w:tcPr>
            <w:tcW w:w="723" w:type="dxa"/>
            <w:shd w:val="clear" w:color="DDEBF7" w:fill="DDEBF7"/>
            <w:noWrap/>
            <w:tcMar>
              <w:top w:w="15" w:type="dxa"/>
              <w:left w:w="15" w:type="dxa"/>
              <w:bottom w:w="0" w:type="dxa"/>
              <w:right w:w="15" w:type="dxa"/>
            </w:tcMar>
            <w:vAlign w:val="bottom"/>
            <w:hideMark/>
          </w:tcPr>
          <w:p w:rsidR="0040221D" w:rsidRPr="00C90A37" w:rsidRDefault="0040221D" w:rsidP="0040221D">
            <w:pPr>
              <w:spacing w:after="0"/>
              <w:rPr>
                <w:rFonts w:ascii="Calibri" w:hAnsi="Calibri" w:cs="Calibri"/>
                <w:b/>
                <w:bCs/>
                <w:color w:val="000000"/>
                <w:sz w:val="20"/>
                <w:szCs w:val="20"/>
              </w:rPr>
            </w:pPr>
            <w:r w:rsidRPr="00C90A37">
              <w:rPr>
                <w:rFonts w:ascii="Calibri" w:hAnsi="Calibri" w:cs="Calibri"/>
                <w:b/>
                <w:bCs/>
                <w:color w:val="000000"/>
                <w:sz w:val="20"/>
                <w:szCs w:val="20"/>
              </w:rPr>
              <w:t>R5</w:t>
            </w:r>
          </w:p>
        </w:tc>
      </w:tr>
      <w:tr w:rsidR="0040221D" w:rsidRPr="00C90A37" w:rsidTr="0040221D">
        <w:trPr>
          <w:trHeight w:val="57"/>
        </w:trPr>
        <w:tc>
          <w:tcPr>
            <w:tcW w:w="905" w:type="dxa"/>
            <w:shd w:val="clear" w:color="auto" w:fill="auto"/>
            <w:noWrap/>
            <w:tcMar>
              <w:top w:w="15" w:type="dxa"/>
              <w:left w:w="15" w:type="dxa"/>
              <w:bottom w:w="0" w:type="dxa"/>
              <w:right w:w="15" w:type="dxa"/>
            </w:tcMar>
            <w:vAlign w:val="bottom"/>
            <w:hideMark/>
          </w:tcPr>
          <w:p w:rsidR="0040221D" w:rsidRPr="00C90A37" w:rsidRDefault="0040221D" w:rsidP="0040221D">
            <w:pPr>
              <w:spacing w:after="0"/>
              <w:rPr>
                <w:rFonts w:ascii="Calibri" w:hAnsi="Calibri" w:cs="Calibri"/>
                <w:color w:val="000000"/>
                <w:sz w:val="20"/>
                <w:szCs w:val="20"/>
              </w:rPr>
            </w:pPr>
            <w:r w:rsidRPr="00C90A37">
              <w:rPr>
                <w:rFonts w:ascii="Calibri" w:hAnsi="Calibri" w:cs="Calibri"/>
                <w:color w:val="000000"/>
                <w:sz w:val="20"/>
                <w:szCs w:val="20"/>
              </w:rPr>
              <w:t xml:space="preserve">infra </w:t>
            </w:r>
          </w:p>
        </w:tc>
        <w:tc>
          <w:tcPr>
            <w:tcW w:w="1281" w:type="dxa"/>
            <w:shd w:val="clear" w:color="auto" w:fill="auto"/>
            <w:noWrap/>
            <w:tcMar>
              <w:top w:w="15" w:type="dxa"/>
              <w:left w:w="15" w:type="dxa"/>
              <w:bottom w:w="0" w:type="dxa"/>
              <w:right w:w="15" w:type="dxa"/>
            </w:tcMar>
            <w:vAlign w:val="bottom"/>
            <w:hideMark/>
          </w:tcPr>
          <w:p w:rsidR="0040221D" w:rsidRPr="00C90A37" w:rsidRDefault="0040221D" w:rsidP="0040221D">
            <w:pPr>
              <w:spacing w:after="0"/>
              <w:jc w:val="right"/>
              <w:rPr>
                <w:rFonts w:ascii="Calibri" w:hAnsi="Calibri" w:cs="Calibri"/>
                <w:color w:val="000000"/>
                <w:sz w:val="20"/>
                <w:szCs w:val="20"/>
              </w:rPr>
            </w:pPr>
            <w:r w:rsidRPr="00C90A37">
              <w:rPr>
                <w:rFonts w:ascii="Calibri" w:hAnsi="Calibri" w:cs="Calibri"/>
                <w:color w:val="000000"/>
                <w:sz w:val="20"/>
                <w:szCs w:val="20"/>
              </w:rPr>
              <w:t>0.205031949</w:t>
            </w:r>
          </w:p>
        </w:tc>
        <w:tc>
          <w:tcPr>
            <w:tcW w:w="835" w:type="dxa"/>
            <w:shd w:val="clear" w:color="auto" w:fill="auto"/>
            <w:noWrap/>
            <w:tcMar>
              <w:top w:w="15" w:type="dxa"/>
              <w:left w:w="15" w:type="dxa"/>
              <w:bottom w:w="0" w:type="dxa"/>
              <w:right w:w="15" w:type="dxa"/>
            </w:tcMar>
            <w:vAlign w:val="bottom"/>
            <w:hideMark/>
          </w:tcPr>
          <w:p w:rsidR="0040221D" w:rsidRPr="00C90A37" w:rsidRDefault="0040221D" w:rsidP="0040221D">
            <w:pPr>
              <w:spacing w:after="0"/>
              <w:jc w:val="right"/>
              <w:rPr>
                <w:rFonts w:ascii="Calibri" w:hAnsi="Calibri" w:cs="Calibri"/>
                <w:color w:val="000000"/>
                <w:sz w:val="20"/>
                <w:szCs w:val="20"/>
              </w:rPr>
            </w:pPr>
            <w:r w:rsidRPr="00C90A37">
              <w:rPr>
                <w:rFonts w:ascii="Calibri" w:hAnsi="Calibri" w:cs="Calibri"/>
                <w:color w:val="000000"/>
                <w:sz w:val="20"/>
                <w:szCs w:val="20"/>
              </w:rPr>
              <w:t>0.2136</w:t>
            </w:r>
          </w:p>
        </w:tc>
        <w:tc>
          <w:tcPr>
            <w:tcW w:w="723" w:type="dxa"/>
            <w:shd w:val="clear" w:color="auto" w:fill="auto"/>
            <w:noWrap/>
            <w:tcMar>
              <w:top w:w="15" w:type="dxa"/>
              <w:left w:w="15" w:type="dxa"/>
              <w:bottom w:w="0" w:type="dxa"/>
              <w:right w:w="15" w:type="dxa"/>
            </w:tcMar>
            <w:vAlign w:val="bottom"/>
            <w:hideMark/>
          </w:tcPr>
          <w:p w:rsidR="0040221D" w:rsidRPr="00C90A37" w:rsidRDefault="0040221D" w:rsidP="0040221D">
            <w:pPr>
              <w:spacing w:after="0"/>
              <w:jc w:val="right"/>
              <w:rPr>
                <w:rFonts w:ascii="Calibri" w:hAnsi="Calibri" w:cs="Calibri"/>
                <w:color w:val="000000"/>
                <w:sz w:val="20"/>
                <w:szCs w:val="20"/>
              </w:rPr>
            </w:pPr>
            <w:r w:rsidRPr="00C90A37">
              <w:rPr>
                <w:rFonts w:ascii="Calibri" w:hAnsi="Calibri" w:cs="Calibri"/>
                <w:color w:val="000000"/>
                <w:sz w:val="20"/>
                <w:szCs w:val="20"/>
              </w:rPr>
              <w:t>0.3183</w:t>
            </w:r>
          </w:p>
        </w:tc>
        <w:tc>
          <w:tcPr>
            <w:tcW w:w="723" w:type="dxa"/>
            <w:shd w:val="clear" w:color="auto" w:fill="auto"/>
            <w:noWrap/>
            <w:tcMar>
              <w:top w:w="15" w:type="dxa"/>
              <w:left w:w="15" w:type="dxa"/>
              <w:bottom w:w="0" w:type="dxa"/>
              <w:right w:w="15" w:type="dxa"/>
            </w:tcMar>
            <w:vAlign w:val="bottom"/>
            <w:hideMark/>
          </w:tcPr>
          <w:p w:rsidR="0040221D" w:rsidRPr="00C90A37" w:rsidRDefault="0040221D" w:rsidP="0040221D">
            <w:pPr>
              <w:spacing w:after="0"/>
              <w:jc w:val="right"/>
              <w:rPr>
                <w:rFonts w:ascii="Calibri" w:hAnsi="Calibri" w:cs="Calibri"/>
                <w:color w:val="000000"/>
                <w:sz w:val="20"/>
                <w:szCs w:val="20"/>
              </w:rPr>
            </w:pPr>
            <w:r w:rsidRPr="00C90A37">
              <w:rPr>
                <w:rFonts w:ascii="Calibri" w:hAnsi="Calibri" w:cs="Calibri"/>
                <w:color w:val="000000"/>
                <w:sz w:val="20"/>
                <w:szCs w:val="20"/>
              </w:rPr>
              <w:t>0.1962</w:t>
            </w:r>
          </w:p>
        </w:tc>
        <w:tc>
          <w:tcPr>
            <w:tcW w:w="723" w:type="dxa"/>
            <w:shd w:val="clear" w:color="auto" w:fill="auto"/>
            <w:noWrap/>
            <w:tcMar>
              <w:top w:w="15" w:type="dxa"/>
              <w:left w:w="15" w:type="dxa"/>
              <w:bottom w:w="0" w:type="dxa"/>
              <w:right w:w="15" w:type="dxa"/>
            </w:tcMar>
            <w:vAlign w:val="bottom"/>
            <w:hideMark/>
          </w:tcPr>
          <w:p w:rsidR="0040221D" w:rsidRPr="00C90A37" w:rsidRDefault="0040221D" w:rsidP="0040221D">
            <w:pPr>
              <w:spacing w:after="0"/>
              <w:jc w:val="right"/>
              <w:rPr>
                <w:rFonts w:ascii="Calibri" w:hAnsi="Calibri" w:cs="Calibri"/>
                <w:color w:val="000000"/>
                <w:sz w:val="20"/>
                <w:szCs w:val="20"/>
              </w:rPr>
            </w:pPr>
            <w:r w:rsidRPr="00C90A37">
              <w:rPr>
                <w:rFonts w:ascii="Calibri" w:hAnsi="Calibri" w:cs="Calibri"/>
                <w:color w:val="000000"/>
                <w:sz w:val="20"/>
                <w:szCs w:val="20"/>
              </w:rPr>
              <w:t>0.0668</w:t>
            </w:r>
          </w:p>
        </w:tc>
      </w:tr>
      <w:tr w:rsidR="0040221D" w:rsidRPr="00C90A37" w:rsidTr="0040221D">
        <w:trPr>
          <w:trHeight w:val="57"/>
        </w:trPr>
        <w:tc>
          <w:tcPr>
            <w:tcW w:w="905" w:type="dxa"/>
            <w:shd w:val="clear" w:color="auto" w:fill="auto"/>
            <w:noWrap/>
            <w:tcMar>
              <w:top w:w="15" w:type="dxa"/>
              <w:left w:w="15" w:type="dxa"/>
              <w:bottom w:w="0" w:type="dxa"/>
              <w:right w:w="15" w:type="dxa"/>
            </w:tcMar>
            <w:vAlign w:val="bottom"/>
            <w:hideMark/>
          </w:tcPr>
          <w:p w:rsidR="0040221D" w:rsidRPr="00C90A37" w:rsidRDefault="0040221D" w:rsidP="0040221D">
            <w:pPr>
              <w:spacing w:after="0"/>
              <w:rPr>
                <w:rFonts w:ascii="Calibri" w:hAnsi="Calibri" w:cs="Calibri"/>
                <w:color w:val="000000"/>
                <w:sz w:val="20"/>
                <w:szCs w:val="20"/>
              </w:rPr>
            </w:pPr>
            <w:r w:rsidRPr="00C90A37">
              <w:rPr>
                <w:rFonts w:ascii="Calibri" w:hAnsi="Calibri" w:cs="Calibri"/>
                <w:color w:val="000000"/>
                <w:sz w:val="20"/>
                <w:szCs w:val="20"/>
              </w:rPr>
              <w:t>intra.inf</w:t>
            </w:r>
          </w:p>
        </w:tc>
        <w:tc>
          <w:tcPr>
            <w:tcW w:w="1281" w:type="dxa"/>
            <w:shd w:val="clear" w:color="auto" w:fill="auto"/>
            <w:noWrap/>
            <w:tcMar>
              <w:top w:w="15" w:type="dxa"/>
              <w:left w:w="15" w:type="dxa"/>
              <w:bottom w:w="0" w:type="dxa"/>
              <w:right w:w="15" w:type="dxa"/>
            </w:tcMar>
            <w:vAlign w:val="bottom"/>
            <w:hideMark/>
          </w:tcPr>
          <w:p w:rsidR="0040221D" w:rsidRPr="00C90A37" w:rsidRDefault="0040221D" w:rsidP="0040221D">
            <w:pPr>
              <w:spacing w:after="0"/>
              <w:jc w:val="right"/>
              <w:rPr>
                <w:rFonts w:ascii="Calibri" w:hAnsi="Calibri" w:cs="Calibri"/>
                <w:color w:val="000000"/>
                <w:sz w:val="20"/>
                <w:szCs w:val="20"/>
              </w:rPr>
            </w:pPr>
            <w:r w:rsidRPr="00C90A37">
              <w:rPr>
                <w:rFonts w:ascii="Calibri" w:hAnsi="Calibri" w:cs="Calibri"/>
                <w:color w:val="000000"/>
                <w:sz w:val="20"/>
                <w:szCs w:val="20"/>
              </w:rPr>
              <w:t>0.151968336</w:t>
            </w:r>
          </w:p>
        </w:tc>
        <w:tc>
          <w:tcPr>
            <w:tcW w:w="835" w:type="dxa"/>
            <w:shd w:val="clear" w:color="auto" w:fill="auto"/>
            <w:noWrap/>
            <w:tcMar>
              <w:top w:w="15" w:type="dxa"/>
              <w:left w:w="15" w:type="dxa"/>
              <w:bottom w:w="0" w:type="dxa"/>
              <w:right w:w="15" w:type="dxa"/>
            </w:tcMar>
            <w:vAlign w:val="bottom"/>
            <w:hideMark/>
          </w:tcPr>
          <w:p w:rsidR="0040221D" w:rsidRPr="00C90A37" w:rsidRDefault="0040221D" w:rsidP="0040221D">
            <w:pPr>
              <w:spacing w:after="0"/>
              <w:jc w:val="right"/>
              <w:rPr>
                <w:rFonts w:ascii="Calibri" w:hAnsi="Calibri" w:cs="Calibri"/>
                <w:color w:val="000000"/>
                <w:sz w:val="20"/>
                <w:szCs w:val="20"/>
              </w:rPr>
            </w:pPr>
            <w:r w:rsidRPr="00C90A37">
              <w:rPr>
                <w:rFonts w:ascii="Calibri" w:hAnsi="Calibri" w:cs="Calibri"/>
                <w:color w:val="000000"/>
                <w:sz w:val="20"/>
                <w:szCs w:val="20"/>
              </w:rPr>
              <w:t>0.34055</w:t>
            </w:r>
          </w:p>
        </w:tc>
        <w:tc>
          <w:tcPr>
            <w:tcW w:w="723" w:type="dxa"/>
            <w:shd w:val="clear" w:color="auto" w:fill="auto"/>
            <w:noWrap/>
            <w:tcMar>
              <w:top w:w="15" w:type="dxa"/>
              <w:left w:w="15" w:type="dxa"/>
              <w:bottom w:w="0" w:type="dxa"/>
              <w:right w:w="15" w:type="dxa"/>
            </w:tcMar>
            <w:vAlign w:val="bottom"/>
            <w:hideMark/>
          </w:tcPr>
          <w:p w:rsidR="0040221D" w:rsidRPr="00C90A37" w:rsidRDefault="0040221D" w:rsidP="0040221D">
            <w:pPr>
              <w:spacing w:after="0"/>
              <w:jc w:val="right"/>
              <w:rPr>
                <w:rFonts w:ascii="Calibri" w:hAnsi="Calibri" w:cs="Calibri"/>
                <w:color w:val="000000"/>
                <w:sz w:val="20"/>
                <w:szCs w:val="20"/>
              </w:rPr>
            </w:pPr>
            <w:r w:rsidRPr="00C90A37">
              <w:rPr>
                <w:rFonts w:ascii="Calibri" w:hAnsi="Calibri" w:cs="Calibri"/>
                <w:color w:val="000000"/>
                <w:sz w:val="20"/>
                <w:szCs w:val="20"/>
              </w:rPr>
              <w:t>0.2879</w:t>
            </w:r>
          </w:p>
        </w:tc>
        <w:tc>
          <w:tcPr>
            <w:tcW w:w="723" w:type="dxa"/>
            <w:shd w:val="clear" w:color="auto" w:fill="auto"/>
            <w:noWrap/>
            <w:tcMar>
              <w:top w:w="15" w:type="dxa"/>
              <w:left w:w="15" w:type="dxa"/>
              <w:bottom w:w="0" w:type="dxa"/>
              <w:right w:w="15" w:type="dxa"/>
            </w:tcMar>
            <w:vAlign w:val="bottom"/>
            <w:hideMark/>
          </w:tcPr>
          <w:p w:rsidR="0040221D" w:rsidRPr="00C90A37" w:rsidRDefault="0040221D" w:rsidP="0040221D">
            <w:pPr>
              <w:spacing w:after="0"/>
              <w:jc w:val="right"/>
              <w:rPr>
                <w:rFonts w:ascii="Calibri" w:hAnsi="Calibri" w:cs="Calibri"/>
                <w:color w:val="000000"/>
                <w:sz w:val="20"/>
                <w:szCs w:val="20"/>
              </w:rPr>
            </w:pPr>
            <w:r w:rsidRPr="00C90A37">
              <w:rPr>
                <w:rFonts w:ascii="Calibri" w:hAnsi="Calibri" w:cs="Calibri"/>
                <w:color w:val="000000"/>
                <w:sz w:val="20"/>
                <w:szCs w:val="20"/>
              </w:rPr>
              <w:t>0.1253</w:t>
            </w:r>
          </w:p>
        </w:tc>
        <w:tc>
          <w:tcPr>
            <w:tcW w:w="723" w:type="dxa"/>
            <w:shd w:val="clear" w:color="auto" w:fill="auto"/>
            <w:noWrap/>
            <w:tcMar>
              <w:top w:w="15" w:type="dxa"/>
              <w:left w:w="15" w:type="dxa"/>
              <w:bottom w:w="0" w:type="dxa"/>
              <w:right w:w="15" w:type="dxa"/>
            </w:tcMar>
            <w:vAlign w:val="bottom"/>
            <w:hideMark/>
          </w:tcPr>
          <w:p w:rsidR="0040221D" w:rsidRPr="00C90A37" w:rsidRDefault="0040221D" w:rsidP="0040221D">
            <w:pPr>
              <w:spacing w:after="0"/>
              <w:jc w:val="right"/>
              <w:rPr>
                <w:rFonts w:ascii="Calibri" w:hAnsi="Calibri" w:cs="Calibri"/>
                <w:color w:val="000000"/>
                <w:sz w:val="20"/>
                <w:szCs w:val="20"/>
              </w:rPr>
            </w:pPr>
            <w:r w:rsidRPr="00C90A37">
              <w:rPr>
                <w:rFonts w:ascii="Calibri" w:hAnsi="Calibri" w:cs="Calibri"/>
                <w:color w:val="000000"/>
                <w:sz w:val="20"/>
                <w:szCs w:val="20"/>
              </w:rPr>
              <w:t>0.0943</w:t>
            </w:r>
          </w:p>
        </w:tc>
      </w:tr>
      <w:tr w:rsidR="0040221D" w:rsidRPr="00C90A37" w:rsidTr="0040221D">
        <w:trPr>
          <w:trHeight w:val="57"/>
        </w:trPr>
        <w:tc>
          <w:tcPr>
            <w:tcW w:w="905" w:type="dxa"/>
            <w:shd w:val="clear" w:color="auto" w:fill="auto"/>
            <w:noWrap/>
            <w:tcMar>
              <w:top w:w="15" w:type="dxa"/>
              <w:left w:w="15" w:type="dxa"/>
              <w:bottom w:w="0" w:type="dxa"/>
              <w:right w:w="15" w:type="dxa"/>
            </w:tcMar>
            <w:vAlign w:val="bottom"/>
            <w:hideMark/>
          </w:tcPr>
          <w:p w:rsidR="0040221D" w:rsidRPr="00C90A37" w:rsidRDefault="0040221D" w:rsidP="0040221D">
            <w:pPr>
              <w:spacing w:after="0"/>
              <w:rPr>
                <w:rFonts w:ascii="Calibri" w:hAnsi="Calibri" w:cs="Calibri"/>
                <w:color w:val="000000"/>
                <w:sz w:val="20"/>
                <w:szCs w:val="20"/>
              </w:rPr>
            </w:pPr>
            <w:r w:rsidRPr="00C90A37">
              <w:rPr>
                <w:rFonts w:ascii="Calibri" w:hAnsi="Calibri" w:cs="Calibri"/>
                <w:color w:val="000000"/>
                <w:sz w:val="20"/>
                <w:szCs w:val="20"/>
              </w:rPr>
              <w:t>intra.sup</w:t>
            </w:r>
          </w:p>
        </w:tc>
        <w:tc>
          <w:tcPr>
            <w:tcW w:w="1281" w:type="dxa"/>
            <w:shd w:val="clear" w:color="auto" w:fill="auto"/>
            <w:noWrap/>
            <w:tcMar>
              <w:top w:w="15" w:type="dxa"/>
              <w:left w:w="15" w:type="dxa"/>
              <w:bottom w:w="0" w:type="dxa"/>
              <w:right w:w="15" w:type="dxa"/>
            </w:tcMar>
            <w:vAlign w:val="bottom"/>
            <w:hideMark/>
          </w:tcPr>
          <w:p w:rsidR="0040221D" w:rsidRPr="00C90A37" w:rsidRDefault="0040221D" w:rsidP="0040221D">
            <w:pPr>
              <w:spacing w:after="0"/>
              <w:jc w:val="right"/>
              <w:rPr>
                <w:rFonts w:ascii="Calibri" w:hAnsi="Calibri" w:cs="Calibri"/>
                <w:color w:val="000000"/>
                <w:sz w:val="20"/>
                <w:szCs w:val="20"/>
              </w:rPr>
            </w:pPr>
            <w:r w:rsidRPr="00C90A37">
              <w:rPr>
                <w:rFonts w:ascii="Calibri" w:hAnsi="Calibri" w:cs="Calibri"/>
                <w:color w:val="000000"/>
                <w:sz w:val="20"/>
                <w:szCs w:val="20"/>
              </w:rPr>
              <w:t>0.105157784</w:t>
            </w:r>
          </w:p>
        </w:tc>
        <w:tc>
          <w:tcPr>
            <w:tcW w:w="835" w:type="dxa"/>
            <w:shd w:val="clear" w:color="auto" w:fill="auto"/>
            <w:noWrap/>
            <w:tcMar>
              <w:top w:w="15" w:type="dxa"/>
              <w:left w:w="15" w:type="dxa"/>
              <w:bottom w:w="0" w:type="dxa"/>
              <w:right w:w="15" w:type="dxa"/>
            </w:tcMar>
            <w:vAlign w:val="bottom"/>
            <w:hideMark/>
          </w:tcPr>
          <w:p w:rsidR="0040221D" w:rsidRPr="00C90A37" w:rsidRDefault="0040221D" w:rsidP="0040221D">
            <w:pPr>
              <w:spacing w:after="0"/>
              <w:jc w:val="right"/>
              <w:rPr>
                <w:rFonts w:ascii="Calibri" w:hAnsi="Calibri" w:cs="Calibri"/>
                <w:color w:val="000000"/>
                <w:sz w:val="20"/>
                <w:szCs w:val="20"/>
              </w:rPr>
            </w:pPr>
            <w:r w:rsidRPr="00C90A37">
              <w:rPr>
                <w:rFonts w:ascii="Calibri" w:hAnsi="Calibri" w:cs="Calibri"/>
                <w:color w:val="000000"/>
                <w:sz w:val="20"/>
                <w:szCs w:val="20"/>
              </w:rPr>
              <w:t>0.27215</w:t>
            </w:r>
          </w:p>
        </w:tc>
        <w:tc>
          <w:tcPr>
            <w:tcW w:w="723" w:type="dxa"/>
            <w:shd w:val="clear" w:color="auto" w:fill="auto"/>
            <w:noWrap/>
            <w:tcMar>
              <w:top w:w="15" w:type="dxa"/>
              <w:left w:w="15" w:type="dxa"/>
              <w:bottom w:w="0" w:type="dxa"/>
              <w:right w:w="15" w:type="dxa"/>
            </w:tcMar>
            <w:vAlign w:val="bottom"/>
            <w:hideMark/>
          </w:tcPr>
          <w:p w:rsidR="0040221D" w:rsidRPr="00C90A37" w:rsidRDefault="0040221D" w:rsidP="0040221D">
            <w:pPr>
              <w:spacing w:after="0"/>
              <w:jc w:val="right"/>
              <w:rPr>
                <w:rFonts w:ascii="Calibri" w:hAnsi="Calibri" w:cs="Calibri"/>
                <w:color w:val="000000"/>
                <w:sz w:val="20"/>
                <w:szCs w:val="20"/>
              </w:rPr>
            </w:pPr>
            <w:r w:rsidRPr="00C90A37">
              <w:rPr>
                <w:rFonts w:ascii="Calibri" w:hAnsi="Calibri" w:cs="Calibri"/>
                <w:color w:val="000000"/>
                <w:sz w:val="20"/>
                <w:szCs w:val="20"/>
              </w:rPr>
              <w:t>0.299</w:t>
            </w:r>
          </w:p>
        </w:tc>
        <w:tc>
          <w:tcPr>
            <w:tcW w:w="723" w:type="dxa"/>
            <w:shd w:val="clear" w:color="auto" w:fill="auto"/>
            <w:noWrap/>
            <w:tcMar>
              <w:top w:w="15" w:type="dxa"/>
              <w:left w:w="15" w:type="dxa"/>
              <w:bottom w:w="0" w:type="dxa"/>
              <w:right w:w="15" w:type="dxa"/>
            </w:tcMar>
            <w:vAlign w:val="bottom"/>
            <w:hideMark/>
          </w:tcPr>
          <w:p w:rsidR="0040221D" w:rsidRPr="00C90A37" w:rsidRDefault="0040221D" w:rsidP="0040221D">
            <w:pPr>
              <w:spacing w:after="0"/>
              <w:jc w:val="right"/>
              <w:rPr>
                <w:rFonts w:ascii="Calibri" w:hAnsi="Calibri" w:cs="Calibri"/>
                <w:color w:val="000000"/>
                <w:sz w:val="20"/>
                <w:szCs w:val="20"/>
              </w:rPr>
            </w:pPr>
            <w:r w:rsidRPr="00C90A37">
              <w:rPr>
                <w:rFonts w:ascii="Calibri" w:hAnsi="Calibri" w:cs="Calibri"/>
                <w:color w:val="000000"/>
                <w:sz w:val="20"/>
                <w:szCs w:val="20"/>
              </w:rPr>
              <w:t>0.2083</w:t>
            </w:r>
          </w:p>
        </w:tc>
        <w:tc>
          <w:tcPr>
            <w:tcW w:w="723" w:type="dxa"/>
            <w:shd w:val="clear" w:color="auto" w:fill="auto"/>
            <w:noWrap/>
            <w:tcMar>
              <w:top w:w="15" w:type="dxa"/>
              <w:left w:w="15" w:type="dxa"/>
              <w:bottom w:w="0" w:type="dxa"/>
              <w:right w:w="15" w:type="dxa"/>
            </w:tcMar>
            <w:vAlign w:val="bottom"/>
            <w:hideMark/>
          </w:tcPr>
          <w:p w:rsidR="0040221D" w:rsidRPr="00C90A37" w:rsidRDefault="0040221D" w:rsidP="0040221D">
            <w:pPr>
              <w:spacing w:after="0"/>
              <w:jc w:val="right"/>
              <w:rPr>
                <w:rFonts w:ascii="Calibri" w:hAnsi="Calibri" w:cs="Calibri"/>
                <w:color w:val="000000"/>
                <w:sz w:val="20"/>
                <w:szCs w:val="20"/>
              </w:rPr>
            </w:pPr>
            <w:r w:rsidRPr="00C90A37">
              <w:rPr>
                <w:rFonts w:ascii="Calibri" w:hAnsi="Calibri" w:cs="Calibri"/>
                <w:color w:val="000000"/>
                <w:sz w:val="20"/>
                <w:szCs w:val="20"/>
              </w:rPr>
              <w:t>0.1154</w:t>
            </w:r>
          </w:p>
        </w:tc>
      </w:tr>
      <w:tr w:rsidR="0040221D" w:rsidRPr="00C90A37" w:rsidTr="0040221D">
        <w:trPr>
          <w:trHeight w:val="57"/>
        </w:trPr>
        <w:tc>
          <w:tcPr>
            <w:tcW w:w="905" w:type="dxa"/>
            <w:shd w:val="clear" w:color="auto" w:fill="auto"/>
            <w:noWrap/>
            <w:tcMar>
              <w:top w:w="15" w:type="dxa"/>
              <w:left w:w="15" w:type="dxa"/>
              <w:bottom w:w="0" w:type="dxa"/>
              <w:right w:w="15" w:type="dxa"/>
            </w:tcMar>
            <w:vAlign w:val="bottom"/>
            <w:hideMark/>
          </w:tcPr>
          <w:p w:rsidR="0040221D" w:rsidRPr="00C90A37" w:rsidRDefault="0040221D" w:rsidP="0040221D">
            <w:pPr>
              <w:spacing w:after="0"/>
              <w:rPr>
                <w:rFonts w:ascii="Calibri" w:hAnsi="Calibri" w:cs="Calibri"/>
                <w:color w:val="000000"/>
                <w:sz w:val="20"/>
                <w:szCs w:val="20"/>
              </w:rPr>
            </w:pPr>
            <w:r w:rsidRPr="00C90A37">
              <w:rPr>
                <w:rFonts w:ascii="Calibri" w:hAnsi="Calibri" w:cs="Calibri"/>
                <w:color w:val="000000"/>
                <w:sz w:val="20"/>
                <w:szCs w:val="20"/>
              </w:rPr>
              <w:t xml:space="preserve">supra </w:t>
            </w:r>
          </w:p>
        </w:tc>
        <w:tc>
          <w:tcPr>
            <w:tcW w:w="1281" w:type="dxa"/>
            <w:shd w:val="clear" w:color="auto" w:fill="auto"/>
            <w:noWrap/>
            <w:tcMar>
              <w:top w:w="15" w:type="dxa"/>
              <w:left w:w="15" w:type="dxa"/>
              <w:bottom w:w="0" w:type="dxa"/>
              <w:right w:w="15" w:type="dxa"/>
            </w:tcMar>
            <w:vAlign w:val="bottom"/>
            <w:hideMark/>
          </w:tcPr>
          <w:p w:rsidR="0040221D" w:rsidRPr="00C90A37" w:rsidRDefault="0040221D" w:rsidP="0040221D">
            <w:pPr>
              <w:spacing w:after="0"/>
              <w:jc w:val="right"/>
              <w:rPr>
                <w:rFonts w:ascii="Calibri" w:hAnsi="Calibri" w:cs="Calibri"/>
                <w:color w:val="000000"/>
                <w:sz w:val="20"/>
                <w:szCs w:val="20"/>
              </w:rPr>
            </w:pPr>
            <w:r w:rsidRPr="00C90A37">
              <w:rPr>
                <w:rFonts w:ascii="Calibri" w:hAnsi="Calibri" w:cs="Calibri"/>
                <w:color w:val="000000"/>
                <w:sz w:val="20"/>
                <w:szCs w:val="20"/>
              </w:rPr>
              <w:t>0.137783396</w:t>
            </w:r>
          </w:p>
        </w:tc>
        <w:tc>
          <w:tcPr>
            <w:tcW w:w="835" w:type="dxa"/>
            <w:shd w:val="clear" w:color="auto" w:fill="auto"/>
            <w:noWrap/>
            <w:tcMar>
              <w:top w:w="15" w:type="dxa"/>
              <w:left w:w="15" w:type="dxa"/>
              <w:bottom w:w="0" w:type="dxa"/>
              <w:right w:w="15" w:type="dxa"/>
            </w:tcMar>
            <w:vAlign w:val="bottom"/>
            <w:hideMark/>
          </w:tcPr>
          <w:p w:rsidR="0040221D" w:rsidRPr="00C90A37" w:rsidRDefault="0040221D" w:rsidP="0040221D">
            <w:pPr>
              <w:spacing w:after="0"/>
              <w:jc w:val="right"/>
              <w:rPr>
                <w:rFonts w:ascii="Calibri" w:hAnsi="Calibri" w:cs="Calibri"/>
                <w:color w:val="000000"/>
                <w:sz w:val="20"/>
                <w:szCs w:val="20"/>
              </w:rPr>
            </w:pPr>
            <w:r w:rsidRPr="00C90A37">
              <w:rPr>
                <w:rFonts w:ascii="Calibri" w:hAnsi="Calibri" w:cs="Calibri"/>
                <w:color w:val="000000"/>
                <w:sz w:val="20"/>
                <w:szCs w:val="20"/>
              </w:rPr>
              <w:t>0.29896</w:t>
            </w:r>
          </w:p>
        </w:tc>
        <w:tc>
          <w:tcPr>
            <w:tcW w:w="723" w:type="dxa"/>
            <w:shd w:val="clear" w:color="auto" w:fill="auto"/>
            <w:noWrap/>
            <w:tcMar>
              <w:top w:w="15" w:type="dxa"/>
              <w:left w:w="15" w:type="dxa"/>
              <w:bottom w:w="0" w:type="dxa"/>
              <w:right w:w="15" w:type="dxa"/>
            </w:tcMar>
            <w:vAlign w:val="bottom"/>
            <w:hideMark/>
          </w:tcPr>
          <w:p w:rsidR="0040221D" w:rsidRPr="00C90A37" w:rsidRDefault="0040221D" w:rsidP="0040221D">
            <w:pPr>
              <w:spacing w:after="0"/>
              <w:jc w:val="right"/>
              <w:rPr>
                <w:rFonts w:ascii="Calibri" w:hAnsi="Calibri" w:cs="Calibri"/>
                <w:color w:val="000000"/>
                <w:sz w:val="20"/>
                <w:szCs w:val="20"/>
              </w:rPr>
            </w:pPr>
            <w:r w:rsidRPr="00C90A37">
              <w:rPr>
                <w:rFonts w:ascii="Calibri" w:hAnsi="Calibri" w:cs="Calibri"/>
                <w:color w:val="000000"/>
                <w:sz w:val="20"/>
                <w:szCs w:val="20"/>
              </w:rPr>
              <w:t>0.2982</w:t>
            </w:r>
          </w:p>
        </w:tc>
        <w:tc>
          <w:tcPr>
            <w:tcW w:w="723" w:type="dxa"/>
            <w:shd w:val="clear" w:color="auto" w:fill="auto"/>
            <w:noWrap/>
            <w:tcMar>
              <w:top w:w="15" w:type="dxa"/>
              <w:left w:w="15" w:type="dxa"/>
              <w:bottom w:w="0" w:type="dxa"/>
              <w:right w:w="15" w:type="dxa"/>
            </w:tcMar>
            <w:vAlign w:val="bottom"/>
            <w:hideMark/>
          </w:tcPr>
          <w:p w:rsidR="0040221D" w:rsidRPr="00C90A37" w:rsidRDefault="0040221D" w:rsidP="0040221D">
            <w:pPr>
              <w:spacing w:after="0"/>
              <w:jc w:val="right"/>
              <w:rPr>
                <w:rFonts w:ascii="Calibri" w:hAnsi="Calibri" w:cs="Calibri"/>
                <w:color w:val="000000"/>
                <w:sz w:val="20"/>
                <w:szCs w:val="20"/>
              </w:rPr>
            </w:pPr>
            <w:r w:rsidRPr="00C90A37">
              <w:rPr>
                <w:rFonts w:ascii="Calibri" w:hAnsi="Calibri" w:cs="Calibri"/>
                <w:color w:val="000000"/>
                <w:sz w:val="20"/>
                <w:szCs w:val="20"/>
              </w:rPr>
              <w:t>0.1489</w:t>
            </w:r>
          </w:p>
        </w:tc>
        <w:tc>
          <w:tcPr>
            <w:tcW w:w="723" w:type="dxa"/>
            <w:shd w:val="clear" w:color="auto" w:fill="auto"/>
            <w:noWrap/>
            <w:tcMar>
              <w:top w:w="15" w:type="dxa"/>
              <w:left w:w="15" w:type="dxa"/>
              <w:bottom w:w="0" w:type="dxa"/>
              <w:right w:w="15" w:type="dxa"/>
            </w:tcMar>
            <w:vAlign w:val="bottom"/>
            <w:hideMark/>
          </w:tcPr>
          <w:p w:rsidR="0040221D" w:rsidRPr="00C90A37" w:rsidRDefault="0040221D" w:rsidP="0040221D">
            <w:pPr>
              <w:spacing w:after="0"/>
              <w:jc w:val="right"/>
              <w:rPr>
                <w:rFonts w:ascii="Calibri" w:hAnsi="Calibri" w:cs="Calibri"/>
                <w:color w:val="000000"/>
                <w:sz w:val="20"/>
                <w:szCs w:val="20"/>
              </w:rPr>
            </w:pPr>
            <w:r w:rsidRPr="00C90A37">
              <w:rPr>
                <w:rFonts w:ascii="Calibri" w:hAnsi="Calibri" w:cs="Calibri"/>
                <w:color w:val="000000"/>
                <w:sz w:val="20"/>
                <w:szCs w:val="20"/>
              </w:rPr>
              <w:t>0.1162</w:t>
            </w:r>
          </w:p>
        </w:tc>
      </w:tr>
    </w:tbl>
    <w:p w:rsidR="0040221D" w:rsidRPr="00C90A37" w:rsidRDefault="0040221D" w:rsidP="0040221D">
      <w:pPr>
        <w:pStyle w:val="Paragraphedeliste"/>
        <w:numPr>
          <w:ilvl w:val="0"/>
          <w:numId w:val="2"/>
        </w:numPr>
        <w:rPr>
          <w:sz w:val="20"/>
          <w:szCs w:val="20"/>
        </w:rPr>
      </w:pPr>
      <w:r w:rsidRPr="00C90A37">
        <w:rPr>
          <w:sz w:val="20"/>
          <w:szCs w:val="20"/>
        </w:rPr>
        <w:t>Affecter le poids à chaque piège*relevé selon sa strate et son relevé</w:t>
      </w:r>
    </w:p>
    <w:p w:rsidR="0040221D" w:rsidRPr="00C90A37" w:rsidRDefault="0040221D" w:rsidP="0040221D">
      <w:pPr>
        <w:pStyle w:val="Paragraphedeliste"/>
        <w:numPr>
          <w:ilvl w:val="0"/>
          <w:numId w:val="2"/>
        </w:numPr>
        <w:rPr>
          <w:sz w:val="20"/>
          <w:szCs w:val="20"/>
        </w:rPr>
      </w:pPr>
      <w:r w:rsidRPr="00C90A37">
        <w:rPr>
          <w:sz w:val="20"/>
          <w:szCs w:val="20"/>
        </w:rPr>
        <w:t>La somme des 5 pièges*relevés = 1 si tous les pièges sont présents, et décroît sous 1 plus ou moins selon le relevé manquant</w:t>
      </w:r>
    </w:p>
    <w:p w:rsidR="0040221D" w:rsidRPr="00C90A37" w:rsidRDefault="0040221D">
      <w:pPr>
        <w:rPr>
          <w:sz w:val="20"/>
          <w:szCs w:val="20"/>
        </w:rPr>
      </w:pPr>
      <w:r w:rsidRPr="00C90A37">
        <w:rPr>
          <w:sz w:val="20"/>
          <w:szCs w:val="20"/>
        </w:rPr>
        <w:t>Ainsi, un piège à qui il manque 3 relevés, mais les moins productifs (R1 R4 R5), mais qui a fonctionné en R2 R3, n’est pas pondéré à 0.4 mais par ex. à 0.56 !</w:t>
      </w:r>
    </w:p>
    <w:p w:rsidR="000C712F" w:rsidRPr="00C90A37" w:rsidRDefault="000C712F" w:rsidP="00F8559D">
      <w:pPr>
        <w:rPr>
          <w:sz w:val="20"/>
          <w:szCs w:val="20"/>
        </w:rPr>
      </w:pPr>
    </w:p>
    <w:p w:rsidR="000C712F" w:rsidRPr="00C90A37" w:rsidRDefault="000C712F" w:rsidP="000C712F">
      <w:pPr>
        <w:pStyle w:val="Titre2"/>
        <w:rPr>
          <w:sz w:val="20"/>
          <w:szCs w:val="20"/>
        </w:rPr>
      </w:pPr>
      <w:r w:rsidRPr="00C90A37">
        <w:rPr>
          <w:sz w:val="20"/>
          <w:szCs w:val="20"/>
        </w:rPr>
        <w:t>Espèces</w:t>
      </w:r>
    </w:p>
    <w:p w:rsidR="000C712F" w:rsidRPr="00C90A37" w:rsidRDefault="000C712F" w:rsidP="00F8559D">
      <w:pPr>
        <w:rPr>
          <w:sz w:val="20"/>
          <w:szCs w:val="20"/>
        </w:rPr>
      </w:pPr>
      <w:r w:rsidRPr="00C90A37">
        <w:rPr>
          <w:sz w:val="20"/>
          <w:szCs w:val="20"/>
        </w:rPr>
        <w:t>Seuils (occurrence &gt;10%, abondance &gt; 50 indiv)</w:t>
      </w:r>
    </w:p>
    <w:p w:rsidR="000C712F" w:rsidRPr="00C90A37" w:rsidRDefault="000C712F" w:rsidP="00F8559D">
      <w:pPr>
        <w:rPr>
          <w:sz w:val="20"/>
          <w:szCs w:val="20"/>
        </w:rPr>
      </w:pPr>
    </w:p>
    <w:p w:rsidR="000C712F" w:rsidRPr="00C90A37" w:rsidRDefault="000C712F" w:rsidP="000C712F">
      <w:pPr>
        <w:pStyle w:val="Titre2"/>
        <w:rPr>
          <w:sz w:val="20"/>
          <w:szCs w:val="20"/>
        </w:rPr>
      </w:pPr>
      <w:r w:rsidRPr="00C90A37">
        <w:rPr>
          <w:sz w:val="20"/>
          <w:szCs w:val="20"/>
        </w:rPr>
        <w:t>Communauté</w:t>
      </w:r>
    </w:p>
    <w:p w:rsidR="00AE0463" w:rsidRPr="00C90A37" w:rsidRDefault="00AE0463" w:rsidP="00AE0463">
      <w:pPr>
        <w:rPr>
          <w:sz w:val="20"/>
          <w:szCs w:val="20"/>
        </w:rPr>
      </w:pPr>
      <w:r w:rsidRPr="00C90A37">
        <w:rPr>
          <w:sz w:val="20"/>
          <w:szCs w:val="20"/>
        </w:rPr>
        <w:t>ab.colsx</w:t>
      </w:r>
      <w:r w:rsidRPr="00C90A37">
        <w:rPr>
          <w:sz w:val="20"/>
          <w:szCs w:val="20"/>
        </w:rPr>
        <w:tab/>
        <w:t>Effectif cumulé par piège sur l’ensemble des relevés saisonniers des individus de coléoptères saproxyliques</w:t>
      </w:r>
    </w:p>
    <w:p w:rsidR="000C712F" w:rsidRPr="00C90A37" w:rsidRDefault="00AE0463" w:rsidP="000C712F">
      <w:pPr>
        <w:rPr>
          <w:sz w:val="20"/>
          <w:szCs w:val="20"/>
        </w:rPr>
      </w:pPr>
      <w:r w:rsidRPr="00C90A37">
        <w:rPr>
          <w:sz w:val="20"/>
          <w:szCs w:val="20"/>
        </w:rPr>
        <w:t>rs.colsx  Nombre cumulé par piège sur l’ensemble des relevés saisonniers des espèces de coléoptères saproxyliques</w:t>
      </w:r>
      <w:r w:rsidR="0088260E" w:rsidRPr="00C90A37">
        <w:rPr>
          <w:sz w:val="20"/>
          <w:szCs w:val="20"/>
        </w:rPr>
        <w:t xml:space="preserve"> (diversité, richesse spécifique)</w:t>
      </w:r>
    </w:p>
    <w:p w:rsidR="000C712F" w:rsidRPr="00C90A37" w:rsidRDefault="005F1EE4" w:rsidP="00F8559D">
      <w:pPr>
        <w:rPr>
          <w:sz w:val="20"/>
          <w:szCs w:val="20"/>
        </w:rPr>
      </w:pPr>
      <w:r w:rsidRPr="00C90A37">
        <w:rPr>
          <w:color w:val="FF0000"/>
          <w:sz w:val="20"/>
          <w:szCs w:val="20"/>
        </w:rPr>
        <w:t>Espèces rares</w:t>
      </w:r>
      <w:r w:rsidR="009F39CA" w:rsidRPr="00C90A37">
        <w:rPr>
          <w:color w:val="FF0000"/>
          <w:sz w:val="20"/>
          <w:szCs w:val="20"/>
        </w:rPr>
        <w:t>/communes</w:t>
      </w:r>
      <w:r w:rsidRPr="00C90A37">
        <w:rPr>
          <w:color w:val="FF0000"/>
          <w:sz w:val="20"/>
          <w:szCs w:val="20"/>
        </w:rPr>
        <w:t xml:space="preserve"> </w:t>
      </w:r>
      <w:r w:rsidRPr="00C90A37">
        <w:rPr>
          <w:sz w:val="20"/>
          <w:szCs w:val="20"/>
        </w:rPr>
        <w:t>(classifi</w:t>
      </w:r>
      <w:r w:rsidR="009F39CA" w:rsidRPr="00C90A37">
        <w:rPr>
          <w:sz w:val="20"/>
          <w:szCs w:val="20"/>
        </w:rPr>
        <w:t>cation patrimoniale a priori) :</w:t>
      </w:r>
    </w:p>
    <w:p w:rsidR="005F1EE4" w:rsidRPr="00C90A37" w:rsidRDefault="00AE0463" w:rsidP="00B86336">
      <w:pPr>
        <w:pStyle w:val="Paragraphedeliste"/>
        <w:numPr>
          <w:ilvl w:val="0"/>
          <w:numId w:val="3"/>
        </w:numPr>
        <w:rPr>
          <w:sz w:val="20"/>
          <w:szCs w:val="20"/>
        </w:rPr>
      </w:pPr>
      <w:r w:rsidRPr="00C90A37">
        <w:rPr>
          <w:sz w:val="20"/>
          <w:szCs w:val="20"/>
        </w:rPr>
        <w:t>ab.colsxrar Effectif cumulé par piège sur l’ensemble des relevés saisonniers</w:t>
      </w:r>
      <w:r w:rsidR="00CD17D3" w:rsidRPr="00C90A37">
        <w:rPr>
          <w:sz w:val="20"/>
          <w:szCs w:val="20"/>
        </w:rPr>
        <w:t xml:space="preserve"> des individus d’espèces rares de</w:t>
      </w:r>
      <w:r w:rsidRPr="00C90A37">
        <w:rPr>
          <w:sz w:val="20"/>
          <w:szCs w:val="20"/>
        </w:rPr>
        <w:t xml:space="preserve"> coléoptères saproxyliques</w:t>
      </w:r>
      <w:r w:rsidR="00CD17D3" w:rsidRPr="00C90A37">
        <w:rPr>
          <w:sz w:val="20"/>
          <w:szCs w:val="20"/>
        </w:rPr>
        <w:t xml:space="preserve"> (Indice Patrimonial Bouget et al. 2019 : IP = 3 ou IP =4)</w:t>
      </w:r>
    </w:p>
    <w:p w:rsidR="00CD17D3" w:rsidRPr="00C90A37" w:rsidRDefault="00CD17D3" w:rsidP="00B86336">
      <w:pPr>
        <w:pStyle w:val="Paragraphedeliste"/>
        <w:numPr>
          <w:ilvl w:val="0"/>
          <w:numId w:val="3"/>
        </w:numPr>
        <w:rPr>
          <w:sz w:val="20"/>
          <w:szCs w:val="20"/>
        </w:rPr>
      </w:pPr>
      <w:r w:rsidRPr="00C90A37">
        <w:rPr>
          <w:sz w:val="20"/>
          <w:szCs w:val="20"/>
        </w:rPr>
        <w:t>rs.colsxrar Nombre cumulé par piège sur l’ensemble des relevés saisonniers des espèces rares de coléoptères saproxyliques (Indice Patrimonial Bouget et al. 2019 : IP = 3 ou IP =4)</w:t>
      </w:r>
    </w:p>
    <w:p w:rsidR="00CD17D3" w:rsidRPr="00C90A37" w:rsidRDefault="00CD17D3" w:rsidP="00B86336">
      <w:pPr>
        <w:pStyle w:val="Paragraphedeliste"/>
        <w:numPr>
          <w:ilvl w:val="0"/>
          <w:numId w:val="3"/>
        </w:numPr>
        <w:rPr>
          <w:sz w:val="20"/>
          <w:szCs w:val="20"/>
        </w:rPr>
      </w:pPr>
      <w:r w:rsidRPr="00C90A37">
        <w:rPr>
          <w:sz w:val="20"/>
          <w:szCs w:val="20"/>
        </w:rPr>
        <w:t>ab.colsxcom</w:t>
      </w:r>
      <w:r w:rsidRPr="00C90A37">
        <w:rPr>
          <w:sz w:val="20"/>
          <w:szCs w:val="20"/>
        </w:rPr>
        <w:tab/>
      </w:r>
      <w:r w:rsidR="00B86336" w:rsidRPr="00C90A37">
        <w:rPr>
          <w:sz w:val="20"/>
          <w:szCs w:val="20"/>
        </w:rPr>
        <w:t>Effectif cumulé par piège sur l’ensemble des relevés saisonniers des individus d’espèces communes de coléoptères saproxyliques (Indice Patrimonial Bouget et al. 2019 : IP = 1 ou IP =2)</w:t>
      </w:r>
    </w:p>
    <w:p w:rsidR="00CD17D3" w:rsidRPr="00C90A37" w:rsidRDefault="00CD17D3" w:rsidP="00B86336">
      <w:pPr>
        <w:pStyle w:val="Paragraphedeliste"/>
        <w:numPr>
          <w:ilvl w:val="0"/>
          <w:numId w:val="3"/>
        </w:numPr>
        <w:rPr>
          <w:sz w:val="20"/>
          <w:szCs w:val="20"/>
        </w:rPr>
      </w:pPr>
      <w:r w:rsidRPr="00C90A37">
        <w:rPr>
          <w:sz w:val="20"/>
          <w:szCs w:val="20"/>
        </w:rPr>
        <w:lastRenderedPageBreak/>
        <w:t xml:space="preserve">rs.colsxcom Nombre cumulé par piège sur l’ensemble des relevés saisonniers des espèces </w:t>
      </w:r>
      <w:r w:rsidR="00B86336" w:rsidRPr="00C90A37">
        <w:rPr>
          <w:sz w:val="20"/>
          <w:szCs w:val="20"/>
        </w:rPr>
        <w:t>communes</w:t>
      </w:r>
      <w:r w:rsidRPr="00C90A37">
        <w:rPr>
          <w:sz w:val="20"/>
          <w:szCs w:val="20"/>
        </w:rPr>
        <w:t xml:space="preserve"> de coléoptères saproxyliques (Indice Patrimonial Bouget et al. 2019 : </w:t>
      </w:r>
      <w:r w:rsidR="00B86336" w:rsidRPr="00C90A37">
        <w:rPr>
          <w:sz w:val="20"/>
          <w:szCs w:val="20"/>
        </w:rPr>
        <w:t>IP = 1 ou IP =2</w:t>
      </w:r>
      <w:r w:rsidRPr="00C90A37">
        <w:rPr>
          <w:sz w:val="20"/>
          <w:szCs w:val="20"/>
        </w:rPr>
        <w:t>)</w:t>
      </w:r>
    </w:p>
    <w:p w:rsidR="009F39CA" w:rsidRPr="00C90A37" w:rsidRDefault="009F39CA" w:rsidP="00B86336">
      <w:pPr>
        <w:rPr>
          <w:color w:val="FF0000"/>
          <w:sz w:val="20"/>
          <w:szCs w:val="20"/>
        </w:rPr>
      </w:pPr>
    </w:p>
    <w:p w:rsidR="00F8559D" w:rsidRPr="00C90A37" w:rsidRDefault="000C712F" w:rsidP="000C712F">
      <w:pPr>
        <w:pStyle w:val="Titre2"/>
        <w:rPr>
          <w:sz w:val="20"/>
          <w:szCs w:val="20"/>
        </w:rPr>
      </w:pPr>
      <w:r w:rsidRPr="00C90A37">
        <w:rPr>
          <w:sz w:val="20"/>
          <w:szCs w:val="20"/>
        </w:rPr>
        <w:t>Guildes sur traits catégoriels</w:t>
      </w:r>
    </w:p>
    <w:p w:rsidR="000C712F" w:rsidRPr="00C90A37" w:rsidRDefault="000C712F" w:rsidP="00F8559D">
      <w:pPr>
        <w:rPr>
          <w:color w:val="FF0000"/>
          <w:sz w:val="20"/>
          <w:szCs w:val="20"/>
        </w:rPr>
      </w:pPr>
      <w:r w:rsidRPr="00C90A37">
        <w:rPr>
          <w:color w:val="FF0000"/>
          <w:sz w:val="20"/>
          <w:szCs w:val="20"/>
        </w:rPr>
        <w:t>Guildes trophiques larvaires</w:t>
      </w:r>
    </w:p>
    <w:p w:rsidR="009F39CA" w:rsidRPr="00C90A37" w:rsidRDefault="009F39CA" w:rsidP="00F8559D">
      <w:pPr>
        <w:rPr>
          <w:sz w:val="20"/>
          <w:szCs w:val="20"/>
        </w:rPr>
      </w:pPr>
      <w:r w:rsidRPr="00C90A37">
        <w:rPr>
          <w:sz w:val="20"/>
          <w:szCs w:val="20"/>
        </w:rPr>
        <w:t>ab.myc</w:t>
      </w:r>
      <w:r w:rsidRPr="00C90A37">
        <w:rPr>
          <w:sz w:val="20"/>
          <w:szCs w:val="20"/>
        </w:rPr>
        <w:tab/>
        <w:t>Effectif cumulé par piège sur l’ensemble des relevés saisonniers des individus de la guilde trophique larvaire des espèces mycétophages</w:t>
      </w:r>
    </w:p>
    <w:p w:rsidR="009F39CA" w:rsidRPr="00C90A37" w:rsidRDefault="009F39CA" w:rsidP="00F8559D">
      <w:pPr>
        <w:rPr>
          <w:sz w:val="20"/>
          <w:szCs w:val="20"/>
        </w:rPr>
      </w:pPr>
      <w:r w:rsidRPr="00C90A37">
        <w:rPr>
          <w:sz w:val="20"/>
          <w:szCs w:val="20"/>
        </w:rPr>
        <w:t>rs.myc</w:t>
      </w:r>
      <w:r w:rsidRPr="00C90A37">
        <w:rPr>
          <w:sz w:val="20"/>
          <w:szCs w:val="20"/>
        </w:rPr>
        <w:tab/>
        <w:t>Nombre cumulé par piège sur l’ensemble des relevés saisonniers des espèces de la guilde trophique larvaire mycétophage</w:t>
      </w:r>
    </w:p>
    <w:p w:rsidR="009F39CA" w:rsidRPr="00C90A37" w:rsidRDefault="009F39CA" w:rsidP="00F8559D">
      <w:pPr>
        <w:rPr>
          <w:sz w:val="20"/>
          <w:szCs w:val="20"/>
        </w:rPr>
      </w:pPr>
      <w:r w:rsidRPr="00C90A37">
        <w:rPr>
          <w:sz w:val="20"/>
          <w:szCs w:val="20"/>
        </w:rPr>
        <w:t>ab.xyl</w:t>
      </w:r>
      <w:r w:rsidRPr="00C90A37">
        <w:rPr>
          <w:sz w:val="20"/>
          <w:szCs w:val="20"/>
        </w:rPr>
        <w:tab/>
        <w:t>Effectif cumulé par piège sur l’ensemble des relevés saisonniers des individus de la guilde trophique larvaire des espèces xylophages</w:t>
      </w:r>
    </w:p>
    <w:p w:rsidR="009F39CA" w:rsidRPr="00C90A37" w:rsidRDefault="009F39CA" w:rsidP="00F8559D">
      <w:pPr>
        <w:rPr>
          <w:sz w:val="20"/>
          <w:szCs w:val="20"/>
        </w:rPr>
      </w:pPr>
      <w:r w:rsidRPr="00C90A37">
        <w:rPr>
          <w:sz w:val="20"/>
          <w:szCs w:val="20"/>
        </w:rPr>
        <w:t>rs.xyl</w:t>
      </w:r>
      <w:r w:rsidRPr="00C90A37">
        <w:rPr>
          <w:sz w:val="20"/>
          <w:szCs w:val="20"/>
        </w:rPr>
        <w:tab/>
        <w:t>Nombre cumulé par piège sur l’ensemble des relevés saisonniers des espèces de la guilde trophique larvaire xylophage</w:t>
      </w:r>
    </w:p>
    <w:p w:rsidR="009F39CA" w:rsidRPr="00C90A37" w:rsidRDefault="009F39CA" w:rsidP="00F8559D">
      <w:pPr>
        <w:rPr>
          <w:sz w:val="20"/>
          <w:szCs w:val="20"/>
        </w:rPr>
      </w:pPr>
      <w:r w:rsidRPr="00C90A37">
        <w:rPr>
          <w:sz w:val="20"/>
          <w:szCs w:val="20"/>
        </w:rPr>
        <w:t>ab.sxy</w:t>
      </w:r>
      <w:r w:rsidRPr="00C90A37">
        <w:rPr>
          <w:sz w:val="20"/>
          <w:szCs w:val="20"/>
        </w:rPr>
        <w:tab/>
        <w:t>Effectif cumulé par piège sur l’ensemble des relevés saisonniers des individus de la guilde trophique larvaire des espèces saproxylophages</w:t>
      </w:r>
    </w:p>
    <w:p w:rsidR="009F39CA" w:rsidRPr="00C90A37" w:rsidRDefault="009F39CA" w:rsidP="00F8559D">
      <w:pPr>
        <w:rPr>
          <w:sz w:val="20"/>
          <w:szCs w:val="20"/>
        </w:rPr>
      </w:pPr>
      <w:r w:rsidRPr="00C90A37">
        <w:rPr>
          <w:sz w:val="20"/>
          <w:szCs w:val="20"/>
        </w:rPr>
        <w:t>rs.sxy</w:t>
      </w:r>
      <w:r w:rsidRPr="00C90A37">
        <w:rPr>
          <w:sz w:val="20"/>
          <w:szCs w:val="20"/>
        </w:rPr>
        <w:tab/>
        <w:t>Nombre cumulé par piège sur l’ensemble des relevés saisonniers des espèces de la guilde trophique larvaire saproxylophage</w:t>
      </w:r>
    </w:p>
    <w:p w:rsidR="009F39CA" w:rsidRPr="00C90A37" w:rsidRDefault="009F39CA" w:rsidP="00F8559D">
      <w:pPr>
        <w:rPr>
          <w:sz w:val="20"/>
          <w:szCs w:val="20"/>
        </w:rPr>
      </w:pPr>
      <w:r w:rsidRPr="00C90A37">
        <w:rPr>
          <w:sz w:val="20"/>
          <w:szCs w:val="20"/>
        </w:rPr>
        <w:t>ab.zoo</w:t>
      </w:r>
      <w:r w:rsidRPr="00C90A37">
        <w:rPr>
          <w:sz w:val="20"/>
          <w:szCs w:val="20"/>
        </w:rPr>
        <w:tab/>
        <w:t>Effectif cumulé par piège sur l’ensemble des relevés saisonniers des individus de la guilde trophique larvaire des espèces zoophages</w:t>
      </w:r>
    </w:p>
    <w:p w:rsidR="009F39CA" w:rsidRPr="00C90A37" w:rsidRDefault="009F39CA" w:rsidP="00F8559D">
      <w:pPr>
        <w:rPr>
          <w:sz w:val="20"/>
          <w:szCs w:val="20"/>
        </w:rPr>
      </w:pPr>
      <w:r w:rsidRPr="00C90A37">
        <w:rPr>
          <w:sz w:val="20"/>
          <w:szCs w:val="20"/>
        </w:rPr>
        <w:t>rs.zoo Nombre cumulé par piège sur l’ensemble des relevés saisonniers des espèces de la guilde trophique larvaire zoophage</w:t>
      </w:r>
    </w:p>
    <w:p w:rsidR="009F39CA" w:rsidRPr="00C90A37" w:rsidRDefault="009F39CA" w:rsidP="00F8559D">
      <w:pPr>
        <w:rPr>
          <w:sz w:val="20"/>
          <w:szCs w:val="20"/>
        </w:rPr>
      </w:pPr>
    </w:p>
    <w:p w:rsidR="0088260E" w:rsidRPr="00C90A37" w:rsidRDefault="0088260E" w:rsidP="0088260E">
      <w:pPr>
        <w:rPr>
          <w:color w:val="FF0000"/>
          <w:sz w:val="20"/>
          <w:szCs w:val="20"/>
        </w:rPr>
      </w:pPr>
      <w:r w:rsidRPr="00C90A37">
        <w:rPr>
          <w:color w:val="FF0000"/>
          <w:sz w:val="20"/>
          <w:szCs w:val="20"/>
        </w:rPr>
        <w:t>Guildes d’écologie adulte : floricoles</w:t>
      </w:r>
    </w:p>
    <w:p w:rsidR="0088260E" w:rsidRPr="00C90A37" w:rsidRDefault="0088260E" w:rsidP="0088260E">
      <w:pPr>
        <w:rPr>
          <w:sz w:val="20"/>
          <w:szCs w:val="20"/>
        </w:rPr>
      </w:pPr>
      <w:r w:rsidRPr="00C90A37">
        <w:rPr>
          <w:sz w:val="20"/>
          <w:szCs w:val="20"/>
        </w:rPr>
        <w:t>ab.flo</w:t>
      </w:r>
      <w:r w:rsidRPr="00C90A37">
        <w:rPr>
          <w:sz w:val="20"/>
          <w:szCs w:val="20"/>
        </w:rPr>
        <w:tab/>
        <w:t>Effectif cumulé par placette et par relevé des individus de la guilde des espèces à adulte floricole</w:t>
      </w:r>
    </w:p>
    <w:p w:rsidR="0088260E" w:rsidRPr="00C90A37" w:rsidRDefault="0088260E" w:rsidP="0088260E">
      <w:pPr>
        <w:rPr>
          <w:sz w:val="20"/>
          <w:szCs w:val="20"/>
        </w:rPr>
      </w:pPr>
      <w:r w:rsidRPr="00C90A37">
        <w:rPr>
          <w:sz w:val="20"/>
          <w:szCs w:val="20"/>
        </w:rPr>
        <w:t>sr.flo</w:t>
      </w:r>
      <w:r w:rsidRPr="00C90A37">
        <w:rPr>
          <w:sz w:val="20"/>
          <w:szCs w:val="20"/>
        </w:rPr>
        <w:tab/>
        <w:t>Nombre cumulé par placette et par relevé des espèces de la guilde des espèces à adulte floricole</w:t>
      </w:r>
    </w:p>
    <w:p w:rsidR="0088260E" w:rsidRPr="00C90A37" w:rsidRDefault="0088260E" w:rsidP="00F8559D">
      <w:pPr>
        <w:rPr>
          <w:sz w:val="20"/>
          <w:szCs w:val="20"/>
        </w:rPr>
      </w:pPr>
    </w:p>
    <w:p w:rsidR="000C712F" w:rsidRPr="00C90A37" w:rsidRDefault="000C712F" w:rsidP="00F8559D">
      <w:pPr>
        <w:rPr>
          <w:color w:val="FF0000"/>
          <w:sz w:val="20"/>
          <w:szCs w:val="20"/>
        </w:rPr>
      </w:pPr>
      <w:r w:rsidRPr="00C90A37">
        <w:rPr>
          <w:color w:val="FF0000"/>
          <w:sz w:val="20"/>
          <w:szCs w:val="20"/>
        </w:rPr>
        <w:t>Guildes de microhabitat larvaire</w:t>
      </w:r>
    </w:p>
    <w:p w:rsidR="0088260E" w:rsidRPr="00C90A37" w:rsidRDefault="0088260E" w:rsidP="00B86336">
      <w:pPr>
        <w:rPr>
          <w:sz w:val="20"/>
          <w:szCs w:val="20"/>
        </w:rPr>
      </w:pPr>
      <w:r w:rsidRPr="00C90A37">
        <w:rPr>
          <w:sz w:val="20"/>
          <w:szCs w:val="20"/>
        </w:rPr>
        <w:t>ab.pho</w:t>
      </w:r>
      <w:r w:rsidRPr="00C90A37">
        <w:rPr>
          <w:sz w:val="20"/>
          <w:szCs w:val="20"/>
        </w:rPr>
        <w:tab/>
        <w:t xml:space="preserve">Effectif cumulé par placette et par relevé des individus de la guilde larvaire des espèces pholeophiles facultatives et obligatoires (abritées dans un nid de vertébrés) </w:t>
      </w:r>
    </w:p>
    <w:p w:rsidR="0088260E" w:rsidRPr="00C90A37" w:rsidRDefault="0088260E" w:rsidP="00B86336">
      <w:pPr>
        <w:rPr>
          <w:sz w:val="20"/>
          <w:szCs w:val="20"/>
        </w:rPr>
      </w:pPr>
      <w:r w:rsidRPr="00C90A37">
        <w:rPr>
          <w:sz w:val="20"/>
          <w:szCs w:val="20"/>
        </w:rPr>
        <w:t>rs.pho</w:t>
      </w:r>
      <w:r w:rsidRPr="00C90A37">
        <w:rPr>
          <w:sz w:val="20"/>
          <w:szCs w:val="20"/>
        </w:rPr>
        <w:tab/>
        <w:t>Nombre cumulé par placette et par relevé des espèces de la guilde larvaire des espèces pholeophiles facultatives et obligatoires (abritées dans un nid de vertébrés)</w:t>
      </w:r>
    </w:p>
    <w:p w:rsidR="00B86336" w:rsidRPr="00C90A37" w:rsidRDefault="00B86336" w:rsidP="00B86336">
      <w:pPr>
        <w:rPr>
          <w:sz w:val="20"/>
          <w:szCs w:val="20"/>
        </w:rPr>
      </w:pPr>
      <w:r w:rsidRPr="00C90A37">
        <w:rPr>
          <w:sz w:val="20"/>
          <w:szCs w:val="20"/>
        </w:rPr>
        <w:t>ab.cav</w:t>
      </w:r>
      <w:r w:rsidR="00FC19FF" w:rsidRPr="00C90A37">
        <w:rPr>
          <w:sz w:val="20"/>
          <w:szCs w:val="20"/>
        </w:rPr>
        <w:t>spe</w:t>
      </w:r>
      <w:r w:rsidRPr="00C90A37">
        <w:rPr>
          <w:sz w:val="20"/>
          <w:szCs w:val="20"/>
        </w:rPr>
        <w:tab/>
        <w:t xml:space="preserve">Effectif cumulé par placette et par relevé des individus de la guilde larvaire des espèces cavicoles </w:t>
      </w:r>
      <w:r w:rsidR="00FC19FF" w:rsidRPr="00C90A37">
        <w:rPr>
          <w:sz w:val="20"/>
          <w:szCs w:val="20"/>
        </w:rPr>
        <w:t>spécialistes</w:t>
      </w:r>
      <w:r w:rsidRPr="00C90A37">
        <w:rPr>
          <w:sz w:val="20"/>
          <w:szCs w:val="20"/>
        </w:rPr>
        <w:t xml:space="preserve"> (</w:t>
      </w:r>
      <w:r w:rsidR="00FC19FF" w:rsidRPr="00C90A37">
        <w:rPr>
          <w:sz w:val="20"/>
          <w:szCs w:val="20"/>
        </w:rPr>
        <w:t>ne vivent pas dans un autre microhabitat qu’</w:t>
      </w:r>
      <w:r w:rsidRPr="00C90A37">
        <w:rPr>
          <w:sz w:val="20"/>
          <w:szCs w:val="20"/>
        </w:rPr>
        <w:t>une cavité)</w:t>
      </w:r>
    </w:p>
    <w:p w:rsidR="00B86336" w:rsidRPr="00C90A37" w:rsidRDefault="00B86336" w:rsidP="00B86336">
      <w:pPr>
        <w:rPr>
          <w:sz w:val="20"/>
          <w:szCs w:val="20"/>
        </w:rPr>
      </w:pPr>
      <w:r w:rsidRPr="00C90A37">
        <w:rPr>
          <w:sz w:val="20"/>
          <w:szCs w:val="20"/>
        </w:rPr>
        <w:t>sr.cav</w:t>
      </w:r>
      <w:r w:rsidR="00FC19FF" w:rsidRPr="00C90A37">
        <w:rPr>
          <w:sz w:val="20"/>
          <w:szCs w:val="20"/>
        </w:rPr>
        <w:t>spe</w:t>
      </w:r>
      <w:r w:rsidRPr="00C90A37">
        <w:rPr>
          <w:sz w:val="20"/>
          <w:szCs w:val="20"/>
        </w:rPr>
        <w:tab/>
        <w:t xml:space="preserve">Nombre cumulé par placette et par relevé des espèces de la guilde larvaire des espèces cavicoles </w:t>
      </w:r>
      <w:r w:rsidR="00FC19FF" w:rsidRPr="00C90A37">
        <w:rPr>
          <w:sz w:val="20"/>
          <w:szCs w:val="20"/>
        </w:rPr>
        <w:t>spécialistes (ne vivent pas dans un autre microhabitat qu’une cavité)</w:t>
      </w:r>
    </w:p>
    <w:p w:rsidR="00B86336" w:rsidRPr="00C90A37" w:rsidRDefault="00B86336" w:rsidP="00B86336">
      <w:pPr>
        <w:rPr>
          <w:sz w:val="20"/>
          <w:szCs w:val="20"/>
        </w:rPr>
      </w:pPr>
      <w:r w:rsidRPr="00C90A37">
        <w:rPr>
          <w:sz w:val="20"/>
          <w:szCs w:val="20"/>
        </w:rPr>
        <w:t>ab.cav</w:t>
      </w:r>
      <w:r w:rsidRPr="00C90A37">
        <w:rPr>
          <w:sz w:val="20"/>
          <w:szCs w:val="20"/>
        </w:rPr>
        <w:tab/>
        <w:t>Effectif cumulé par placette et par relevé des individus de la guilde larvaire des espèces cavicoles facultatives et obligatoires (abritées dans une cavité)</w:t>
      </w:r>
    </w:p>
    <w:p w:rsidR="00B86336" w:rsidRPr="00C90A37" w:rsidRDefault="00B86336" w:rsidP="00B86336">
      <w:pPr>
        <w:rPr>
          <w:sz w:val="20"/>
          <w:szCs w:val="20"/>
        </w:rPr>
      </w:pPr>
      <w:r w:rsidRPr="00C90A37">
        <w:rPr>
          <w:sz w:val="20"/>
          <w:szCs w:val="20"/>
        </w:rPr>
        <w:t>sr.cav</w:t>
      </w:r>
      <w:r w:rsidRPr="00C90A37">
        <w:rPr>
          <w:sz w:val="20"/>
          <w:szCs w:val="20"/>
        </w:rPr>
        <w:tab/>
        <w:t>Nombre cumulé par placette et par relevé des espèces de la guilde larvaire des espèces cavicoles facultatives et obligatoires (abritées dans une cavité)</w:t>
      </w:r>
    </w:p>
    <w:p w:rsidR="00B86336" w:rsidRPr="00C90A37" w:rsidRDefault="00B86336" w:rsidP="00B86336">
      <w:pPr>
        <w:rPr>
          <w:sz w:val="20"/>
          <w:szCs w:val="20"/>
        </w:rPr>
      </w:pPr>
      <w:r w:rsidRPr="00C90A37">
        <w:rPr>
          <w:sz w:val="20"/>
          <w:szCs w:val="20"/>
        </w:rPr>
        <w:t>ab.fon</w:t>
      </w:r>
      <w:r w:rsidRPr="00C90A37">
        <w:rPr>
          <w:sz w:val="20"/>
          <w:szCs w:val="20"/>
        </w:rPr>
        <w:tab/>
        <w:t>Effectif cumulé par placette et par relevé des individus de la guilde larvaire des espèces fongicoles facultatives et obligatoires (dans un sporophore, ou sur des hyphes subcorticoles)</w:t>
      </w:r>
    </w:p>
    <w:p w:rsidR="00B86336" w:rsidRPr="00C90A37" w:rsidRDefault="00B86336" w:rsidP="00B86336">
      <w:pPr>
        <w:rPr>
          <w:sz w:val="20"/>
          <w:szCs w:val="20"/>
        </w:rPr>
      </w:pPr>
      <w:r w:rsidRPr="00C90A37">
        <w:rPr>
          <w:sz w:val="20"/>
          <w:szCs w:val="20"/>
        </w:rPr>
        <w:t>sr.fon</w:t>
      </w:r>
      <w:r w:rsidRPr="00C90A37">
        <w:rPr>
          <w:sz w:val="20"/>
          <w:szCs w:val="20"/>
        </w:rPr>
        <w:tab/>
        <w:t>Nombre cumulé par placette et par relevé des espèces de la guilde larvaire des espèces fongicoles facultatives et obligatoires (dans un sporophore, ou sur des hyphes subcorticoles)</w:t>
      </w:r>
    </w:p>
    <w:p w:rsidR="00FC19FF" w:rsidRPr="00C90A37" w:rsidRDefault="00FC19FF" w:rsidP="00FC19FF">
      <w:pPr>
        <w:rPr>
          <w:sz w:val="20"/>
          <w:szCs w:val="20"/>
        </w:rPr>
      </w:pPr>
      <w:r w:rsidRPr="00C90A37">
        <w:rPr>
          <w:sz w:val="20"/>
          <w:szCs w:val="20"/>
        </w:rPr>
        <w:lastRenderedPageBreak/>
        <w:t>ab.fonspe</w:t>
      </w:r>
      <w:r w:rsidRPr="00C90A37">
        <w:rPr>
          <w:sz w:val="20"/>
          <w:szCs w:val="20"/>
        </w:rPr>
        <w:tab/>
        <w:t>Effectif cumulé par placette et par relevé des individus de la guilde larvaire des espèces fongicoles spécialistes (ne vivent pas dans un autre microhabitat qu’un sporophore ou un bois rempli d’hyphes)</w:t>
      </w:r>
    </w:p>
    <w:p w:rsidR="00FC19FF" w:rsidRPr="00C90A37" w:rsidRDefault="00FC19FF" w:rsidP="00FC19FF">
      <w:pPr>
        <w:rPr>
          <w:sz w:val="20"/>
          <w:szCs w:val="20"/>
        </w:rPr>
      </w:pPr>
      <w:r w:rsidRPr="00C90A37">
        <w:rPr>
          <w:sz w:val="20"/>
          <w:szCs w:val="20"/>
        </w:rPr>
        <w:t>sr.fonspe</w:t>
      </w:r>
      <w:r w:rsidRPr="00C90A37">
        <w:rPr>
          <w:sz w:val="20"/>
          <w:szCs w:val="20"/>
        </w:rPr>
        <w:tab/>
        <w:t>Nombre cumulé par placette et par relevé des espèces de la guilde larvaire des espèces fongicoles spécialistes (ne vivent pas dans un autre microhabitat qu’un sporophore ou un bois rempli d’hyphes)</w:t>
      </w:r>
    </w:p>
    <w:p w:rsidR="00B86336" w:rsidRPr="00C90A37" w:rsidRDefault="00B86336" w:rsidP="00B86336">
      <w:pPr>
        <w:rPr>
          <w:sz w:val="20"/>
          <w:szCs w:val="20"/>
        </w:rPr>
      </w:pPr>
      <w:r w:rsidRPr="00C90A37">
        <w:rPr>
          <w:sz w:val="20"/>
          <w:szCs w:val="20"/>
        </w:rPr>
        <w:t>ab.suc</w:t>
      </w:r>
      <w:r w:rsidRPr="00C90A37">
        <w:rPr>
          <w:sz w:val="20"/>
          <w:szCs w:val="20"/>
        </w:rPr>
        <w:tab/>
        <w:t xml:space="preserve">Effectif cumulé par placette et par relevé des individus de la guilde larvaire des espèces </w:t>
      </w:r>
      <w:r w:rsidR="00FC19FF" w:rsidRPr="00C90A37">
        <w:rPr>
          <w:sz w:val="20"/>
          <w:szCs w:val="20"/>
        </w:rPr>
        <w:t>succicoles</w:t>
      </w:r>
      <w:r w:rsidRPr="00C90A37">
        <w:rPr>
          <w:sz w:val="20"/>
          <w:szCs w:val="20"/>
        </w:rPr>
        <w:t xml:space="preserve"> facultatives et obligatoires (dans un </w:t>
      </w:r>
      <w:r w:rsidR="00FC19FF" w:rsidRPr="00C90A37">
        <w:rPr>
          <w:sz w:val="20"/>
          <w:szCs w:val="20"/>
        </w:rPr>
        <w:t>écoulement de sève</w:t>
      </w:r>
      <w:r w:rsidRPr="00C90A37">
        <w:rPr>
          <w:sz w:val="20"/>
          <w:szCs w:val="20"/>
        </w:rPr>
        <w:t>)</w:t>
      </w:r>
    </w:p>
    <w:p w:rsidR="00B86336" w:rsidRPr="00C90A37" w:rsidRDefault="00B86336" w:rsidP="00B86336">
      <w:pPr>
        <w:rPr>
          <w:sz w:val="20"/>
          <w:szCs w:val="20"/>
        </w:rPr>
      </w:pPr>
      <w:r w:rsidRPr="00C90A37">
        <w:rPr>
          <w:sz w:val="20"/>
          <w:szCs w:val="20"/>
        </w:rPr>
        <w:t>sr.suc</w:t>
      </w:r>
      <w:r w:rsidRPr="00C90A37">
        <w:rPr>
          <w:sz w:val="20"/>
          <w:szCs w:val="20"/>
        </w:rPr>
        <w:tab/>
        <w:t xml:space="preserve">Nombre cumulé par placette et par relevé des espèces de la guilde larvaire des espèces </w:t>
      </w:r>
      <w:r w:rsidR="00FC19FF" w:rsidRPr="00C90A37">
        <w:rPr>
          <w:sz w:val="20"/>
          <w:szCs w:val="20"/>
        </w:rPr>
        <w:t>succicoles facultatives et obligatoires (dans un écoulement de sève)</w:t>
      </w:r>
    </w:p>
    <w:p w:rsidR="0088260E" w:rsidRPr="00C90A37" w:rsidRDefault="0088260E" w:rsidP="0088260E">
      <w:pPr>
        <w:rPr>
          <w:sz w:val="20"/>
          <w:szCs w:val="20"/>
        </w:rPr>
      </w:pPr>
      <w:r w:rsidRPr="00C90A37">
        <w:rPr>
          <w:sz w:val="20"/>
          <w:szCs w:val="20"/>
        </w:rPr>
        <w:t>ab.lig</w:t>
      </w:r>
      <w:r w:rsidRPr="00C90A37">
        <w:rPr>
          <w:sz w:val="20"/>
          <w:szCs w:val="20"/>
        </w:rPr>
        <w:tab/>
        <w:t>Effectif cumulé par placette et par relevé des individus de la guilde larvaire des espèces lignicoles facultatives et obligatoires (dans le bois mort)</w:t>
      </w:r>
    </w:p>
    <w:p w:rsidR="0088260E" w:rsidRPr="00C90A37" w:rsidRDefault="0088260E" w:rsidP="0088260E">
      <w:pPr>
        <w:rPr>
          <w:sz w:val="20"/>
          <w:szCs w:val="20"/>
        </w:rPr>
      </w:pPr>
      <w:r w:rsidRPr="00C90A37">
        <w:rPr>
          <w:sz w:val="20"/>
          <w:szCs w:val="20"/>
        </w:rPr>
        <w:t>sr.lig</w:t>
      </w:r>
      <w:r w:rsidRPr="00C90A37">
        <w:rPr>
          <w:sz w:val="20"/>
          <w:szCs w:val="20"/>
        </w:rPr>
        <w:tab/>
        <w:t>Nombre cumulé par placette et par relevé des espèces de la guilde larvaire des espèces lignicoles facultatives et obligatoires (dans le bois mort)</w:t>
      </w:r>
    </w:p>
    <w:p w:rsidR="00FC19FF" w:rsidRPr="00C90A37" w:rsidRDefault="00FC19FF" w:rsidP="00B86336">
      <w:pPr>
        <w:rPr>
          <w:sz w:val="20"/>
          <w:szCs w:val="20"/>
        </w:rPr>
      </w:pPr>
    </w:p>
    <w:p w:rsidR="000C712F" w:rsidRPr="00C90A37" w:rsidRDefault="000C712F" w:rsidP="00F8559D">
      <w:pPr>
        <w:rPr>
          <w:sz w:val="20"/>
          <w:szCs w:val="20"/>
        </w:rPr>
      </w:pPr>
    </w:p>
    <w:p w:rsidR="000C712F" w:rsidRPr="00C90A37" w:rsidRDefault="000C712F" w:rsidP="000C712F">
      <w:pPr>
        <w:pStyle w:val="Titre2"/>
        <w:rPr>
          <w:sz w:val="20"/>
          <w:szCs w:val="20"/>
        </w:rPr>
      </w:pPr>
      <w:r w:rsidRPr="00C90A37">
        <w:rPr>
          <w:sz w:val="20"/>
          <w:szCs w:val="20"/>
        </w:rPr>
        <w:t>Traits de niche quantitatifs</w:t>
      </w:r>
    </w:p>
    <w:p w:rsidR="000C712F" w:rsidRPr="00C90A37" w:rsidRDefault="00C90A37" w:rsidP="000C712F">
      <w:pPr>
        <w:rPr>
          <w:sz w:val="20"/>
          <w:szCs w:val="20"/>
        </w:rPr>
      </w:pPr>
      <w:r>
        <w:rPr>
          <w:sz w:val="20"/>
          <w:szCs w:val="20"/>
        </w:rPr>
        <w:t>CWM.</w:t>
      </w:r>
      <w:r w:rsidR="000C712F" w:rsidRPr="00C90A37">
        <w:rPr>
          <w:sz w:val="20"/>
          <w:szCs w:val="20"/>
        </w:rPr>
        <w:t>canopy.niche</w:t>
      </w:r>
      <w:r w:rsidR="000C712F" w:rsidRPr="00C90A37">
        <w:rPr>
          <w:sz w:val="20"/>
          <w:szCs w:val="20"/>
        </w:rPr>
        <w:tab/>
        <w:t>Trait moyen de préférence de canopée (= héliophilie moyenne) de l’assemblage d’espèces</w:t>
      </w:r>
    </w:p>
    <w:p w:rsidR="00C90A37" w:rsidRDefault="00C90A37" w:rsidP="000C712F">
      <w:pPr>
        <w:rPr>
          <w:sz w:val="20"/>
          <w:szCs w:val="20"/>
        </w:rPr>
      </w:pPr>
      <w:r>
        <w:rPr>
          <w:sz w:val="20"/>
          <w:szCs w:val="20"/>
        </w:rPr>
        <w:t>FDis.</w:t>
      </w:r>
      <w:r w:rsidRPr="00C90A37">
        <w:rPr>
          <w:sz w:val="20"/>
          <w:szCs w:val="20"/>
        </w:rPr>
        <w:t>canopy.niche</w:t>
      </w:r>
      <w:r>
        <w:rPr>
          <w:sz w:val="20"/>
          <w:szCs w:val="20"/>
        </w:rPr>
        <w:t xml:space="preserve"> </w:t>
      </w:r>
      <w:r>
        <w:rPr>
          <w:sz w:val="20"/>
          <w:szCs w:val="20"/>
        </w:rPr>
        <w:tab/>
      </w:r>
      <w:r w:rsidRPr="00C90A37">
        <w:rPr>
          <w:sz w:val="20"/>
          <w:szCs w:val="20"/>
        </w:rPr>
        <w:t>variance de trait de préférence de canopée (= héliophilie moyenne) de l’assemblage</w:t>
      </w:r>
    </w:p>
    <w:p w:rsidR="000C712F" w:rsidRPr="00C90A37" w:rsidRDefault="00C90A37" w:rsidP="000C712F">
      <w:pPr>
        <w:rPr>
          <w:sz w:val="20"/>
          <w:szCs w:val="20"/>
        </w:rPr>
      </w:pPr>
      <w:r>
        <w:rPr>
          <w:sz w:val="20"/>
          <w:szCs w:val="20"/>
        </w:rPr>
        <w:t>CWM.</w:t>
      </w:r>
      <w:r w:rsidR="000C712F" w:rsidRPr="00C90A37">
        <w:rPr>
          <w:sz w:val="20"/>
          <w:szCs w:val="20"/>
        </w:rPr>
        <w:t>size.mm</w:t>
      </w:r>
      <w:r w:rsidR="000C712F" w:rsidRPr="00C90A37">
        <w:rPr>
          <w:sz w:val="20"/>
          <w:szCs w:val="20"/>
        </w:rPr>
        <w:tab/>
        <w:t>Taille moyenne de l’assemblage d’espèces</w:t>
      </w:r>
    </w:p>
    <w:p w:rsidR="00C90A37" w:rsidRDefault="00C90A37" w:rsidP="000C712F">
      <w:pPr>
        <w:rPr>
          <w:sz w:val="20"/>
          <w:szCs w:val="20"/>
        </w:rPr>
      </w:pPr>
      <w:r>
        <w:rPr>
          <w:sz w:val="20"/>
          <w:szCs w:val="20"/>
        </w:rPr>
        <w:t>FDis.</w:t>
      </w:r>
      <w:r w:rsidRPr="00C90A37">
        <w:rPr>
          <w:sz w:val="20"/>
          <w:szCs w:val="20"/>
        </w:rPr>
        <w:t>size.mm</w:t>
      </w:r>
      <w:r>
        <w:rPr>
          <w:sz w:val="20"/>
          <w:szCs w:val="20"/>
        </w:rPr>
        <w:t xml:space="preserve"> </w:t>
      </w:r>
      <w:r>
        <w:rPr>
          <w:sz w:val="20"/>
          <w:szCs w:val="20"/>
        </w:rPr>
        <w:tab/>
      </w:r>
      <w:r w:rsidRPr="00C90A37">
        <w:rPr>
          <w:sz w:val="20"/>
          <w:szCs w:val="20"/>
        </w:rPr>
        <w:t xml:space="preserve">variance de Taille </w:t>
      </w:r>
      <w:r>
        <w:rPr>
          <w:sz w:val="20"/>
          <w:szCs w:val="20"/>
        </w:rPr>
        <w:t xml:space="preserve">de </w:t>
      </w:r>
      <w:r w:rsidRPr="00C90A37">
        <w:rPr>
          <w:sz w:val="20"/>
          <w:szCs w:val="20"/>
        </w:rPr>
        <w:t>l’assemblage d’espèces</w:t>
      </w:r>
    </w:p>
    <w:p w:rsidR="000C712F" w:rsidRPr="00C90A37" w:rsidRDefault="00C90A37" w:rsidP="000C712F">
      <w:pPr>
        <w:rPr>
          <w:sz w:val="20"/>
          <w:szCs w:val="20"/>
        </w:rPr>
      </w:pPr>
      <w:r>
        <w:rPr>
          <w:sz w:val="20"/>
          <w:szCs w:val="20"/>
        </w:rPr>
        <w:t>CWM.</w:t>
      </w:r>
      <w:r w:rsidR="009B06B9" w:rsidRPr="00C90A37">
        <w:rPr>
          <w:sz w:val="20"/>
          <w:szCs w:val="20"/>
        </w:rPr>
        <w:t>diameter.niche</w:t>
      </w:r>
      <w:r w:rsidR="009B06B9" w:rsidRPr="00C90A37">
        <w:rPr>
          <w:sz w:val="20"/>
          <w:szCs w:val="20"/>
        </w:rPr>
        <w:tab/>
      </w:r>
      <w:r w:rsidR="009B06B9" w:rsidRPr="00C90A37">
        <w:rPr>
          <w:sz w:val="20"/>
          <w:szCs w:val="20"/>
        </w:rPr>
        <w:tab/>
      </w:r>
      <w:r w:rsidR="009F39CA" w:rsidRPr="00C90A37">
        <w:rPr>
          <w:sz w:val="20"/>
          <w:szCs w:val="20"/>
        </w:rPr>
        <w:t xml:space="preserve">Trait moyen </w:t>
      </w:r>
      <w:r w:rsidR="009B06B9" w:rsidRPr="00C90A37">
        <w:rPr>
          <w:sz w:val="20"/>
          <w:szCs w:val="20"/>
        </w:rPr>
        <w:t>de préférence de classe de diamètre du substrat saproxylique</w:t>
      </w:r>
    </w:p>
    <w:p w:rsidR="00C90A37" w:rsidRDefault="00C90A37" w:rsidP="000C712F">
      <w:pPr>
        <w:rPr>
          <w:sz w:val="20"/>
          <w:szCs w:val="20"/>
        </w:rPr>
      </w:pPr>
      <w:r>
        <w:rPr>
          <w:sz w:val="20"/>
          <w:szCs w:val="20"/>
        </w:rPr>
        <w:t>FDis.</w:t>
      </w:r>
      <w:r w:rsidRPr="00C90A37">
        <w:rPr>
          <w:sz w:val="20"/>
          <w:szCs w:val="20"/>
        </w:rPr>
        <w:t>diameter.niche</w:t>
      </w:r>
      <w:r>
        <w:rPr>
          <w:sz w:val="20"/>
          <w:szCs w:val="20"/>
        </w:rPr>
        <w:t xml:space="preserve"> </w:t>
      </w:r>
      <w:r>
        <w:rPr>
          <w:sz w:val="20"/>
          <w:szCs w:val="20"/>
        </w:rPr>
        <w:tab/>
      </w:r>
      <w:r w:rsidRPr="00C90A37">
        <w:rPr>
          <w:sz w:val="20"/>
          <w:szCs w:val="20"/>
        </w:rPr>
        <w:t>variance de trait de préférence de classe de diamètre du substrat saproxylique</w:t>
      </w:r>
    </w:p>
    <w:p w:rsidR="000C712F" w:rsidRPr="00C90A37" w:rsidRDefault="00C90A37" w:rsidP="000C712F">
      <w:pPr>
        <w:rPr>
          <w:sz w:val="20"/>
          <w:szCs w:val="20"/>
        </w:rPr>
      </w:pPr>
      <w:r>
        <w:rPr>
          <w:sz w:val="20"/>
          <w:szCs w:val="20"/>
        </w:rPr>
        <w:t>CWM.</w:t>
      </w:r>
      <w:r w:rsidR="000C712F" w:rsidRPr="00C90A37">
        <w:rPr>
          <w:sz w:val="20"/>
          <w:szCs w:val="20"/>
        </w:rPr>
        <w:t>decay.niche</w:t>
      </w:r>
      <w:r w:rsidR="009B06B9" w:rsidRPr="00C90A37">
        <w:rPr>
          <w:sz w:val="20"/>
          <w:szCs w:val="20"/>
        </w:rPr>
        <w:tab/>
      </w:r>
      <w:r w:rsidR="009B06B9" w:rsidRPr="00C90A37">
        <w:rPr>
          <w:sz w:val="20"/>
          <w:szCs w:val="20"/>
        </w:rPr>
        <w:tab/>
      </w:r>
      <w:r w:rsidR="009F39CA" w:rsidRPr="00C90A37">
        <w:rPr>
          <w:sz w:val="20"/>
          <w:szCs w:val="20"/>
        </w:rPr>
        <w:t xml:space="preserve">Trait moyen </w:t>
      </w:r>
      <w:r w:rsidR="009B06B9" w:rsidRPr="00C90A37">
        <w:rPr>
          <w:sz w:val="20"/>
          <w:szCs w:val="20"/>
        </w:rPr>
        <w:t>de préférence de stade de saproxylation du substrat saproxylique</w:t>
      </w:r>
    </w:p>
    <w:p w:rsidR="000C712F" w:rsidRDefault="00C90A37" w:rsidP="00F8559D">
      <w:pPr>
        <w:rPr>
          <w:sz w:val="20"/>
          <w:szCs w:val="20"/>
        </w:rPr>
      </w:pPr>
      <w:r>
        <w:rPr>
          <w:sz w:val="20"/>
          <w:szCs w:val="20"/>
        </w:rPr>
        <w:t>FDis.</w:t>
      </w:r>
      <w:r w:rsidRPr="00C90A37">
        <w:rPr>
          <w:sz w:val="20"/>
          <w:szCs w:val="20"/>
        </w:rPr>
        <w:t>decay.niche</w:t>
      </w:r>
      <w:r>
        <w:rPr>
          <w:sz w:val="20"/>
          <w:szCs w:val="20"/>
        </w:rPr>
        <w:tab/>
      </w:r>
      <w:r>
        <w:rPr>
          <w:sz w:val="20"/>
          <w:szCs w:val="20"/>
        </w:rPr>
        <w:tab/>
      </w:r>
      <w:r w:rsidRPr="00C90A37">
        <w:rPr>
          <w:sz w:val="20"/>
          <w:szCs w:val="20"/>
        </w:rPr>
        <w:t>variance de trait de préférence de stade de saproxylation du substrat</w:t>
      </w:r>
    </w:p>
    <w:p w:rsidR="00C90A37" w:rsidRPr="00C90A37" w:rsidRDefault="00C90A37" w:rsidP="00F8559D">
      <w:pPr>
        <w:rPr>
          <w:sz w:val="20"/>
          <w:szCs w:val="20"/>
        </w:rPr>
      </w:pPr>
    </w:p>
    <w:p w:rsidR="00F8559D" w:rsidRPr="00C90A37" w:rsidRDefault="000C712F" w:rsidP="000C712F">
      <w:pPr>
        <w:pStyle w:val="Titre2"/>
        <w:rPr>
          <w:sz w:val="20"/>
          <w:szCs w:val="20"/>
        </w:rPr>
      </w:pPr>
      <w:r w:rsidRPr="00C90A37">
        <w:rPr>
          <w:sz w:val="20"/>
          <w:szCs w:val="20"/>
        </w:rPr>
        <w:t>Composition</w:t>
      </w:r>
    </w:p>
    <w:p w:rsidR="000C712F" w:rsidRPr="00C90A37" w:rsidRDefault="000C712F" w:rsidP="00C76665">
      <w:pPr>
        <w:rPr>
          <w:sz w:val="20"/>
          <w:szCs w:val="20"/>
        </w:rPr>
      </w:pPr>
      <w:r w:rsidRPr="00C90A37">
        <w:rPr>
          <w:sz w:val="20"/>
          <w:szCs w:val="20"/>
        </w:rPr>
        <w:t>Matrice espèces*sites</w:t>
      </w:r>
    </w:p>
    <w:p w:rsidR="009B06B9" w:rsidRPr="00C90A37" w:rsidRDefault="009B06B9" w:rsidP="009B06B9">
      <w:pPr>
        <w:rPr>
          <w:sz w:val="20"/>
          <w:szCs w:val="20"/>
        </w:rPr>
      </w:pPr>
      <w:r w:rsidRPr="00C90A37">
        <w:rPr>
          <w:sz w:val="20"/>
          <w:szCs w:val="20"/>
        </w:rPr>
        <w:t>Matrice espèces*sites*releves</w:t>
      </w:r>
    </w:p>
    <w:sectPr w:rsidR="009B06B9" w:rsidRPr="00C90A37" w:rsidSect="00C90A37">
      <w:foot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0A37" w:rsidRDefault="00C90A37" w:rsidP="00C90A37">
      <w:pPr>
        <w:spacing w:after="0" w:line="240" w:lineRule="auto"/>
      </w:pPr>
      <w:r>
        <w:separator/>
      </w:r>
    </w:p>
  </w:endnote>
  <w:endnote w:type="continuationSeparator" w:id="0">
    <w:p w:rsidR="00C90A37" w:rsidRDefault="00C90A37" w:rsidP="00C90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1710812"/>
      <w:docPartObj>
        <w:docPartGallery w:val="Page Numbers (Bottom of Page)"/>
        <w:docPartUnique/>
      </w:docPartObj>
    </w:sdtPr>
    <w:sdtEndPr/>
    <w:sdtContent>
      <w:p w:rsidR="00C90A37" w:rsidRDefault="00C90A37">
        <w:pPr>
          <w:pStyle w:val="Pieddepage"/>
          <w:jc w:val="right"/>
        </w:pPr>
        <w:r>
          <w:fldChar w:fldCharType="begin"/>
        </w:r>
        <w:r>
          <w:instrText>PAGE   \* MERGEFORMAT</w:instrText>
        </w:r>
        <w:r>
          <w:fldChar w:fldCharType="separate"/>
        </w:r>
        <w:r w:rsidR="00344472">
          <w:rPr>
            <w:noProof/>
          </w:rPr>
          <w:t>1</w:t>
        </w:r>
        <w:r>
          <w:fldChar w:fldCharType="end"/>
        </w:r>
      </w:p>
    </w:sdtContent>
  </w:sdt>
  <w:p w:rsidR="00C90A37" w:rsidRDefault="00C90A3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0A37" w:rsidRDefault="00C90A37" w:rsidP="00C90A37">
      <w:pPr>
        <w:spacing w:after="0" w:line="240" w:lineRule="auto"/>
      </w:pPr>
      <w:r>
        <w:separator/>
      </w:r>
    </w:p>
  </w:footnote>
  <w:footnote w:type="continuationSeparator" w:id="0">
    <w:p w:rsidR="00C90A37" w:rsidRDefault="00C90A37" w:rsidP="00C90A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A03F22"/>
    <w:multiLevelType w:val="hybridMultilevel"/>
    <w:tmpl w:val="8BA81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9030A59"/>
    <w:multiLevelType w:val="hybridMultilevel"/>
    <w:tmpl w:val="0DB0917A"/>
    <w:lvl w:ilvl="0" w:tplc="722A24C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84B0735"/>
    <w:multiLevelType w:val="hybridMultilevel"/>
    <w:tmpl w:val="2D22FD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FC4"/>
    <w:rsid w:val="000250C7"/>
    <w:rsid w:val="000C712F"/>
    <w:rsid w:val="001A16D5"/>
    <w:rsid w:val="001C19F9"/>
    <w:rsid w:val="00344472"/>
    <w:rsid w:val="0040221D"/>
    <w:rsid w:val="00410DA2"/>
    <w:rsid w:val="004B178F"/>
    <w:rsid w:val="005F1EE4"/>
    <w:rsid w:val="00622FC4"/>
    <w:rsid w:val="0088260E"/>
    <w:rsid w:val="009B06B9"/>
    <w:rsid w:val="009F39CA"/>
    <w:rsid w:val="00AD1AD3"/>
    <w:rsid w:val="00AE0463"/>
    <w:rsid w:val="00B86336"/>
    <w:rsid w:val="00C61162"/>
    <w:rsid w:val="00C76665"/>
    <w:rsid w:val="00C80211"/>
    <w:rsid w:val="00C90A37"/>
    <w:rsid w:val="00CC4BF3"/>
    <w:rsid w:val="00CD17D3"/>
    <w:rsid w:val="00D36220"/>
    <w:rsid w:val="00E529B7"/>
    <w:rsid w:val="00F831AD"/>
    <w:rsid w:val="00F8559D"/>
    <w:rsid w:val="00FC19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C44E68-0FBE-46BD-BA73-7C3093D52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next w:val="Normal"/>
    <w:link w:val="Titre2Car"/>
    <w:uiPriority w:val="9"/>
    <w:unhideWhenUsed/>
    <w:qFormat/>
    <w:rsid w:val="000C712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22FC4"/>
    <w:pPr>
      <w:ind w:left="720"/>
      <w:contextualSpacing/>
    </w:pPr>
  </w:style>
  <w:style w:type="character" w:customStyle="1" w:styleId="Titre2Car">
    <w:name w:val="Titre 2 Car"/>
    <w:basedOn w:val="Policepardfaut"/>
    <w:link w:val="Titre2"/>
    <w:uiPriority w:val="9"/>
    <w:rsid w:val="000C712F"/>
    <w:rPr>
      <w:rFonts w:asciiTheme="majorHAnsi" w:eastAsiaTheme="majorEastAsia" w:hAnsiTheme="majorHAnsi" w:cstheme="majorBidi"/>
      <w:color w:val="2E74B5" w:themeColor="accent1" w:themeShade="BF"/>
      <w:sz w:val="26"/>
      <w:szCs w:val="26"/>
    </w:rPr>
  </w:style>
  <w:style w:type="paragraph" w:styleId="En-tte">
    <w:name w:val="header"/>
    <w:basedOn w:val="Normal"/>
    <w:link w:val="En-tteCar"/>
    <w:uiPriority w:val="99"/>
    <w:unhideWhenUsed/>
    <w:rsid w:val="00C90A37"/>
    <w:pPr>
      <w:tabs>
        <w:tab w:val="center" w:pos="4536"/>
        <w:tab w:val="right" w:pos="9072"/>
      </w:tabs>
      <w:spacing w:after="0" w:line="240" w:lineRule="auto"/>
    </w:pPr>
  </w:style>
  <w:style w:type="character" w:customStyle="1" w:styleId="En-tteCar">
    <w:name w:val="En-tête Car"/>
    <w:basedOn w:val="Policepardfaut"/>
    <w:link w:val="En-tte"/>
    <w:uiPriority w:val="99"/>
    <w:rsid w:val="00C90A37"/>
  </w:style>
  <w:style w:type="paragraph" w:styleId="Pieddepage">
    <w:name w:val="footer"/>
    <w:basedOn w:val="Normal"/>
    <w:link w:val="PieddepageCar"/>
    <w:uiPriority w:val="99"/>
    <w:unhideWhenUsed/>
    <w:rsid w:val="00C90A3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90A37"/>
  </w:style>
  <w:style w:type="paragraph" w:styleId="Textedebulles">
    <w:name w:val="Balloon Text"/>
    <w:basedOn w:val="Normal"/>
    <w:link w:val="TextedebullesCar"/>
    <w:uiPriority w:val="99"/>
    <w:semiHidden/>
    <w:unhideWhenUsed/>
    <w:rsid w:val="00C90A37"/>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90A3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633888">
      <w:bodyDiv w:val="1"/>
      <w:marLeft w:val="0"/>
      <w:marRight w:val="0"/>
      <w:marTop w:val="0"/>
      <w:marBottom w:val="0"/>
      <w:divBdr>
        <w:top w:val="none" w:sz="0" w:space="0" w:color="auto"/>
        <w:left w:val="none" w:sz="0" w:space="0" w:color="auto"/>
        <w:bottom w:val="none" w:sz="0" w:space="0" w:color="auto"/>
        <w:right w:val="none" w:sz="0" w:space="0" w:color="auto"/>
      </w:divBdr>
    </w:div>
    <w:div w:id="434063324">
      <w:bodyDiv w:val="1"/>
      <w:marLeft w:val="0"/>
      <w:marRight w:val="0"/>
      <w:marTop w:val="0"/>
      <w:marBottom w:val="0"/>
      <w:divBdr>
        <w:top w:val="none" w:sz="0" w:space="0" w:color="auto"/>
        <w:left w:val="none" w:sz="0" w:space="0" w:color="auto"/>
        <w:bottom w:val="none" w:sz="0" w:space="0" w:color="auto"/>
        <w:right w:val="none" w:sz="0" w:space="0" w:color="auto"/>
      </w:divBdr>
    </w:div>
    <w:div w:id="1520125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1165</Words>
  <Characters>6409</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IRSTEA</Company>
  <LinksUpToDate>false</LinksUpToDate>
  <CharactersWithSpaces>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Bouget Christophe</dc:creator>
  <cp:keywords/>
  <dc:description/>
  <cp:lastModifiedBy>Bouget Christophe</cp:lastModifiedBy>
  <cp:revision>2</cp:revision>
  <cp:lastPrinted>2025-04-22T14:40:00Z</cp:lastPrinted>
  <dcterms:created xsi:type="dcterms:W3CDTF">2025-04-28T09:57:00Z</dcterms:created>
  <dcterms:modified xsi:type="dcterms:W3CDTF">2025-04-28T09:57:00Z</dcterms:modified>
</cp:coreProperties>
</file>