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7"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2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2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2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26">
        <w:r>
          <w:rPr>
            <w:rStyle w:val="Hyperlink"/>
          </w:rPr>
          <w:t xml:space="preserve">info@broadband-forum.org</w:t>
        </w:r>
      </w:hyperlink>
      <w:r>
        <w:t xml:space="preserve">.</w:t>
      </w:r>
    </w:p>
    <w:bookmarkEnd w:id="27"/>
    <w:bookmarkStart w:id="28" w:name="sec:editors"/>
    <w:p>
      <w:pPr>
        <w:pStyle w:val="Heading3"/>
      </w:pPr>
      <w:r>
        <w:t xml:space="preserve">Editors</w:t>
      </w:r>
    </w:p>
    <w:p>
      <w:pPr>
        <w:pStyle w:val="Compact"/>
        <w:numPr>
          <w:ilvl w:val="0"/>
          <w:numId w:val="1011"/>
        </w:numPr>
      </w:pPr>
      <w:r>
        <w:t xml:space="preserve">Joey Boyd, Adtran</w:t>
      </w:r>
    </w:p>
    <w:p>
      <w:pPr>
        <w:pStyle w:val="Compact"/>
        <w:numPr>
          <w:ilvl w:val="0"/>
          <w:numId w:val="1011"/>
        </w:numPr>
      </w:pPr>
      <w:r>
        <w:t xml:space="preserve">Sven Ooghe, Nokia</w:t>
      </w:r>
    </w:p>
    <w:bookmarkEnd w:id="28"/>
    <w:bookmarkStart w:id="29"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9"/>
    <w:bookmarkStart w:id="30"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30"/>
    <w:bookmarkStart w:id="31"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31"/>
    <w:bookmarkStart w:id="51" w:name="sec:references"/>
    <w:p>
      <w:pPr>
        <w:pStyle w:val="Heading1"/>
      </w:pPr>
      <w:r>
        <w:t xml:space="preserve">References</w:t>
      </w:r>
    </w:p>
    <w:bookmarkStart w:id="50" w:name="refs"/>
    <w:bookmarkStart w:id="33" w:name="ref-TR-383"/>
    <w:p>
      <w:pPr>
        <w:pStyle w:val="Bibliography"/>
      </w:pPr>
      <w:r>
        <w:t xml:space="preserve">[1]</w:t>
      </w:r>
      <w:r>
        <w:t xml:space="preserve"> </w:t>
      </w:r>
      <w:r>
        <w:t xml:space="preserve">	</w:t>
      </w:r>
      <w:r>
        <w:t xml:space="preserve">TR-383 Amendment 8,</w:t>
      </w:r>
      <w:r>
        <w:t xml:space="preserve"> </w:t>
      </w:r>
      <w:hyperlink r:id="rId32">
        <w:r>
          <w:rPr>
            <w:rStyle w:val="Hyperlink"/>
            <w:i/>
            <w:iCs/>
          </w:rPr>
          <w:t xml:space="preserve">Common YANG Modules for Access Networks</w:t>
        </w:r>
      </w:hyperlink>
      <w:r>
        <w:t xml:space="preserve">, Broadband Forum, 2024</w:t>
      </w:r>
    </w:p>
    <w:bookmarkEnd w:id="33"/>
    <w:bookmarkStart w:id="35" w:name="ref-RFC2119"/>
    <w:p>
      <w:pPr>
        <w:pStyle w:val="Bibliography"/>
      </w:pPr>
      <w:r>
        <w:t xml:space="preserve">[2]</w:t>
      </w:r>
      <w:r>
        <w:t xml:space="preserve"> </w:t>
      </w:r>
      <w:r>
        <w:t xml:space="preserve">	</w:t>
      </w:r>
      <w:r>
        <w:t xml:space="preserve">RFC 2119,</w:t>
      </w:r>
      <w:r>
        <w:t xml:space="preserve"> </w:t>
      </w:r>
      <w:hyperlink r:id="rId3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35"/>
    <w:bookmarkStart w:id="37" w:name="ref-RFC7223"/>
    <w:p>
      <w:pPr>
        <w:pStyle w:val="Bibliography"/>
      </w:pPr>
      <w:r>
        <w:t xml:space="preserve">[3]</w:t>
      </w:r>
      <w:r>
        <w:t xml:space="preserve"> </w:t>
      </w:r>
      <w:r>
        <w:t xml:space="preserve">	</w:t>
      </w:r>
      <w:r>
        <w:t xml:space="preserve">RFC 7223,</w:t>
      </w:r>
      <w:r>
        <w:t xml:space="preserve"> </w:t>
      </w:r>
      <w:hyperlink r:id="rId3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7"/>
    <w:bookmarkStart w:id="39" w:name="ref-RFC7950"/>
    <w:p>
      <w:pPr>
        <w:pStyle w:val="Bibliography"/>
      </w:pPr>
      <w:r>
        <w:t xml:space="preserve">[4]</w:t>
      </w:r>
      <w:r>
        <w:t xml:space="preserve"> </w:t>
      </w:r>
      <w:r>
        <w:t xml:space="preserve">	</w:t>
      </w:r>
      <w:r>
        <w:t xml:space="preserve">RFC 7950,</w:t>
      </w:r>
      <w:r>
        <w:t xml:space="preserve"> </w:t>
      </w:r>
      <w:hyperlink r:id="rId3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9"/>
    <w:bookmarkStart w:id="41" w:name="ref-RFC8174"/>
    <w:p>
      <w:pPr>
        <w:pStyle w:val="Bibliography"/>
      </w:pPr>
      <w:r>
        <w:t xml:space="preserve">[5]</w:t>
      </w:r>
      <w:r>
        <w:t xml:space="preserve"> </w:t>
      </w:r>
      <w:r>
        <w:t xml:space="preserve">	</w:t>
      </w:r>
      <w:r>
        <w:t xml:space="preserve">RFC 8174,</w:t>
      </w:r>
      <w:r>
        <w:t xml:space="preserve"> </w:t>
      </w:r>
      <w:hyperlink r:id="rId4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41"/>
    <w:bookmarkStart w:id="43" w:name="ref-RFC8407"/>
    <w:p>
      <w:pPr>
        <w:pStyle w:val="Bibliography"/>
      </w:pPr>
      <w:r>
        <w:t xml:space="preserve">[6]</w:t>
      </w:r>
      <w:r>
        <w:t xml:space="preserve"> </w:t>
      </w:r>
      <w:r>
        <w:t xml:space="preserve">	</w:t>
      </w:r>
      <w:r>
        <w:t xml:space="preserve">RFC 8407,</w:t>
      </w:r>
      <w:r>
        <w:t xml:space="preserve"> </w:t>
      </w:r>
      <w:hyperlink r:id="rId4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43"/>
    <w:bookmarkStart w:id="45" w:name="ref-RFC8632"/>
    <w:p>
      <w:pPr>
        <w:pStyle w:val="Bibliography"/>
      </w:pPr>
      <w:r>
        <w:t xml:space="preserve">[7]</w:t>
      </w:r>
      <w:r>
        <w:t xml:space="preserve"> </w:t>
      </w:r>
      <w:r>
        <w:t xml:space="preserve">	</w:t>
      </w:r>
      <w:r>
        <w:t xml:space="preserve">RFC 8632,</w:t>
      </w:r>
      <w:r>
        <w:t xml:space="preserve"> </w:t>
      </w:r>
      <w:hyperlink r:id="rId4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45"/>
    <w:bookmarkStart w:id="47" w:name="ref-X.733"/>
    <w:p>
      <w:pPr>
        <w:pStyle w:val="Bibliography"/>
      </w:pPr>
      <w:r>
        <w:t xml:space="preserve">[8]</w:t>
      </w:r>
      <w:r>
        <w:t xml:space="preserve"> </w:t>
      </w:r>
      <w:r>
        <w:t xml:space="preserve">	</w:t>
      </w:r>
      <w:r>
        <w:t xml:space="preserve">X.733,</w:t>
      </w:r>
      <w:r>
        <w:t xml:space="preserve"> </w:t>
      </w:r>
      <w:hyperlink r:id="rId4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47"/>
    <w:bookmarkStart w:id="49" w:name="ref-X.736"/>
    <w:p>
      <w:pPr>
        <w:pStyle w:val="Bibliography"/>
      </w:pPr>
      <w:r>
        <w:t xml:space="preserve">[9]</w:t>
      </w:r>
      <w:r>
        <w:t xml:space="preserve"> </w:t>
      </w:r>
      <w:r>
        <w:t xml:space="preserve">	</w:t>
      </w:r>
      <w:r>
        <w:t xml:space="preserve">X.736,</w:t>
      </w:r>
      <w:r>
        <w:t xml:space="preserve"> </w:t>
      </w:r>
      <w:hyperlink r:id="rId4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49"/>
    <w:bookmarkEnd w:id="50"/>
    <w:bookmarkEnd w:id="51"/>
    <w:bookmarkStart w:id="53"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52"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[4]</w:t>
        </w:r>
      </w:hyperlink>
      <w:r>
        <w:t xml:space="preserve"> </w:t>
      </w:r>
      <w:r>
        <w:t xml:space="preserve">for use in all BBF YANG Data Models.</w:t>
      </w:r>
    </w:p>
    <w:bookmarkEnd w:id="52"/>
    <w:bookmarkEnd w:id="53"/>
    <w:bookmarkStart w:id="172"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bookmarkStart w:id="54"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54"/>
    <w:bookmarkStart w:id="56" w:name="sec:template"/>
    <w:p>
      <w:pPr>
        <w:pStyle w:val="Heading2"/>
      </w:pPr>
      <w:r>
        <w:t xml:space="preserve">Template</w:t>
      </w:r>
    </w:p>
    <w:p>
      <w:pPr>
        <w:pStyle w:val="FirstParagraph"/>
      </w:pPr>
      <w:r>
        <w:t xml:space="preserve">New YANG modules MAY be created from the BBF template as shown here:</w:t>
      </w:r>
      <w:r>
        <w:t xml:space="preserve"> </w:t>
      </w:r>
      <w:hyperlink r:id="rId55">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56"/>
    <w:bookmarkStart w:id="107"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58"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57">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58"/>
    <w:bookmarkStart w:id="63"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59">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60">
        <w:r>
          <w:rPr>
            <w:rStyle w:val="Hyperlink"/>
          </w:rPr>
          <w:t xml:space="preserve">PyPi</w:t>
        </w:r>
      </w:hyperlink>
      <w:r>
        <w:t xml:space="preserve">.</w:t>
      </w:r>
    </w:p>
    <w:p>
      <w:pPr>
        <w:pStyle w:val="BodyText"/>
      </w:pPr>
      <w:r>
        <w:t xml:space="preserve">The GitHub version of the pyang tool is available at</w:t>
      </w:r>
      <w:r>
        <w:t xml:space="preserve"> </w:t>
      </w:r>
      <w:hyperlink r:id="rId61">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62">
        <w:r>
          <w:rPr>
            <w:rStyle w:val="Hyperlink"/>
          </w:rPr>
          <w:t xml:space="preserve">https://hub.docker.com/r/broadbandforum/yangtools</w:t>
        </w:r>
      </w:hyperlink>
    </w:p>
    <w:bookmarkEnd w:id="63"/>
    <w:bookmarkStart w:id="65"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64">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[4]</w:t>
        </w:r>
      </w:hyperlink>
      <w:r>
        <w:t xml:space="preserve">.</w:t>
      </w:r>
    </w:p>
    <w:bookmarkEnd w:id="65"/>
    <w:bookmarkStart w:id="67"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66">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67"/>
    <w:bookmarkStart w:id="69"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69"/>
    <w:bookmarkStart w:id="71"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70">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71"/>
    <w:bookmarkStart w:id="78"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bookmarkStart w:id="73" w:name="sec:namespace"/>
    <w:p>
      <w:pPr>
        <w:pStyle w:val="Heading4"/>
      </w:pPr>
      <w:r>
        <w:t xml:space="preserve">namespace</w:t>
      </w:r>
    </w:p>
    <w:p>
      <w:pPr>
        <w:pStyle w:val="FirstParagraph"/>
      </w:pPr>
      <w:r>
        <w:t xml:space="preserve">See IETF-9.</w:t>
      </w:r>
    </w:p>
    <w:bookmarkEnd w:id="73"/>
    <w:bookmarkStart w:id="74"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74"/>
    <w:bookmarkStart w:id="75"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bookmarkEnd w:id="75"/>
    <w:bookmarkStart w:id="76" w:name="sec:description"/>
    <w:p>
      <w:pPr>
        <w:pStyle w:val="Heading4"/>
      </w:pPr>
      <w:r>
        <w:t xml:space="preserve">description</w:t>
      </w:r>
    </w:p>
    <w:p>
      <w:pPr>
        <w:pStyle w:val="FirstParagraph"/>
      </w:pPr>
      <w:r>
        <w:t xml:space="preserve">See IETF-8.</w:t>
      </w:r>
    </w:p>
    <w:bookmarkEnd w:id="76"/>
    <w:bookmarkStart w:id="77"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77"/>
    <w:bookmarkEnd w:id="78"/>
    <w:bookmarkStart w:id="79"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bookmarkEnd w:id="79"/>
    <w:bookmarkStart w:id="81"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80">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81"/>
    <w:bookmarkStart w:id="83"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83"/>
    <w:bookmarkStart w:id="85"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84">
        <w:r>
          <w:rPr>
            <w:rStyle w:val="Hyperlink"/>
          </w:rPr>
          <w:t xml:space="preserve">5.1</w:t>
        </w:r>
      </w:hyperlink>
      <w:r>
        <w:t xml:space="preserve"> </w:t>
      </w:r>
      <w:r>
        <w:t xml:space="preserve">of RFC 7950</w:t>
      </w:r>
      <w:r>
        <w:t xml:space="preserve"> </w:t>
      </w:r>
      <w:hyperlink w:anchor="ref-RFC7950">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bookmarkEnd w:id="85"/>
    <w:bookmarkStart w:id="87"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86">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bookmarkEnd w:id="87"/>
    <w:bookmarkStart w:id="89"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88">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89"/>
    <w:bookmarkStart w:id="91"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90">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91"/>
    <w:bookmarkStart w:id="93"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92">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93"/>
    <w:bookmarkStart w:id="95"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94">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be written using only printable ASCII characters.</w:t>
      </w:r>
    </w:p>
    <w:bookmarkEnd w:id="95"/>
    <w:bookmarkStart w:id="96"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96"/>
    <w:bookmarkStart w:id="98"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7">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98"/>
    <w:bookmarkStart w:id="100"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9">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100"/>
    <w:bookmarkStart w:id="101"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bookmarkEnd w:id="101"/>
    <w:bookmarkStart w:id="103"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102">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[2]</w:t>
        </w:r>
      </w:hyperlink>
      <w:r>
        <w:t xml:space="preserve"> </w:t>
      </w:r>
      <w:r>
        <w:t xml:space="preserve">and clarified in RFC 8174</w:t>
      </w:r>
      <w:r>
        <w:t xml:space="preserve"> </w:t>
      </w:r>
      <w:hyperlink w:anchor="ref-RFC8174">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103"/>
    <w:bookmarkStart w:id="105"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104">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5"/>
    <w:bookmarkStart w:id="106" w:name="sec:ietf-23-prefix-naming-conventions"/>
    <w:p>
      <w:pPr>
        <w:pStyle w:val="Heading3"/>
      </w:pPr>
      <w:r>
        <w:t xml:space="preserve">IETF-23: Prefix Naming Conventions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bookmarkEnd w:id="106"/>
    <w:bookmarkEnd w:id="107"/>
    <w:bookmarkStart w:id="150"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108"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108"/>
    <w:bookmarkStart w:id="109" w:name="sec:bbf-2-line-length"/>
    <w:p>
      <w:pPr>
        <w:pStyle w:val="Heading3"/>
      </w:pPr>
      <w:r>
        <w:t xml:space="preserve">BBF-2: Line Length</w:t>
      </w:r>
    </w:p>
    <w:p>
      <w:pPr>
        <w:pStyle w:val="FirstParagraph"/>
      </w:pPr>
      <w:r>
        <w:t xml:space="preserve">The length of each line of text in a YANG module MUST not exceed 70 characters.</w:t>
      </w:r>
    </w:p>
    <w:bookmarkEnd w:id="109"/>
    <w:bookmarkStart w:id="110"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110"/>
    <w:bookmarkStart w:id="111"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111"/>
    <w:bookmarkStart w:id="112"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112"/>
    <w:bookmarkStart w:id="113"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113"/>
    <w:bookmarkStart w:id="114"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bookmarkEnd w:id="114"/>
    <w:bookmarkStart w:id="115" w:name="sec:bbf-8-revision-statements"/>
    <w:p>
      <w:pPr>
        <w:pStyle w:val="Heading3"/>
      </w:pPr>
      <w:r>
        <w:t xml:space="preserve">BBF-8: Revision Statements</w:t>
      </w:r>
    </w:p>
    <w:p>
      <w:pPr>
        <w:pStyle w:val="FirstParagraph"/>
      </w:pPr>
      <w:r>
        <w:t xml:space="preserve">Superseded by BBF-15.</w:t>
      </w:r>
    </w:p>
    <w:bookmarkEnd w:id="115"/>
    <w:bookmarkStart w:id="116"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16"/>
    <w:bookmarkStart w:id="117"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17"/>
    <w:bookmarkStart w:id="118"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18"/>
    <w:bookmarkStart w:id="119"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19"/>
    <w:bookmarkStart w:id="120"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20"/>
    <w:bookmarkStart w:id="121"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20"/>
        </w:numPr>
      </w:pPr>
      <w:r>
        <w:t xml:space="preserve">First, the requirement must be formulated based on inputs brought forward to the BBF (i.e., a contribution explaining the need for the requirement).</w:t>
      </w:r>
    </w:p>
    <w:p>
      <w:pPr>
        <w:numPr>
          <w:ilvl w:val="1"/>
          <w:numId w:val="1020"/>
        </w:numPr>
      </w:pPr>
      <w:r>
        <w:t xml:space="preserve">There must be consensus among the participants in the Work Area/Project Stream to move forward with this requirement.</w:t>
      </w:r>
    </w:p>
    <w:p>
      <w:pPr>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20"/>
        </w:numPr>
      </w:pPr>
      <w:r>
        <w:t xml:space="preserve">The new requirement must not deviate from any existing requirements in BBF Technical Reports.</w:t>
      </w:r>
    </w:p>
    <w:p>
      <w:pPr>
        <w:numPr>
          <w:ilvl w:val="1"/>
          <w:numId w:val="1020"/>
        </w:numPr>
      </w:pPr>
      <w:r>
        <w:t xml:space="preserve">The new requirement must be reviewed by any Work Area(s) or Project Stream(s) for which it is clearly applicable (e.g., a PON related requirement is to be reviewed by the FAN WA).</w:t>
      </w:r>
    </w:p>
    <w:bookmarkEnd w:id="121"/>
    <w:bookmarkStart w:id="125"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22" w:name="sec:published"/>
    <w:p>
      <w:pPr>
        <w:pStyle w:val="Heading4"/>
      </w:pPr>
      <w:r>
        <w:t xml:space="preserve">Published</w:t>
      </w:r>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bookmarkEnd w:id="122"/>
    <w:bookmarkStart w:id="123" w:name="sec:draft"/>
    <w:p>
      <w:pPr>
        <w:pStyle w:val="Heading4"/>
      </w:pPr>
      <w:r>
        <w:t xml:space="preserve">Draft</w:t>
      </w:r>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bookmarkEnd w:id="123"/>
    <w:bookmarkStart w:id="124" w:name="sec:development"/>
    <w:p>
      <w:pPr>
        <w:pStyle w:val="Heading4"/>
      </w:pPr>
      <w:r>
        <w:t xml:space="preserve">Development</w:t>
      </w:r>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24"/>
    <w:bookmarkEnd w:id="125"/>
    <w:bookmarkStart w:id="126"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6"/>
    <w:bookmarkStart w:id="127"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7"/>
    <w:bookmarkStart w:id="128"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bookmarkEnd w:id="128"/>
    <w:bookmarkStart w:id="131"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29">
        <w:r>
          <w:rPr>
            <w:rStyle w:val="Hyperlink"/>
            <w:i/>
            <w:iCs/>
          </w:rPr>
          <w:t xml:space="preserve">7.9.3</w:t>
        </w:r>
      </w:hyperlink>
      <w:r>
        <w:rPr>
          <w:i/>
          <w:iCs/>
        </w:rPr>
        <w:t xml:space="preserve"> </w:t>
      </w:r>
      <w:r>
        <w:rPr>
          <w:i/>
          <w:iCs/>
        </w:rPr>
        <w:t xml:space="preserve">and section</w:t>
      </w:r>
      <w:r>
        <w:rPr>
          <w:i/>
          <w:iCs/>
        </w:rPr>
        <w:t xml:space="preserve"> </w:t>
      </w:r>
      <w:hyperlink r:id="rId130">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31"/>
    <w:bookmarkStart w:id="132"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[4]</w:t>
        </w:r>
      </w:hyperlink>
      <w:r>
        <w:t xml:space="preserve">, section</w:t>
      </w:r>
      <w:r>
        <w:t xml:space="preserve"> </w:t>
      </w:r>
      <w:hyperlink r:id="rId68">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32"/>
    <w:bookmarkStart w:id="133"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bookmarkEnd w:id="133"/>
    <w:bookmarkStart w:id="136" w:name="sec:bbf-22-backwards-compatibility"/>
    <w:p>
      <w:pPr>
        <w:pStyle w:val="Heading3"/>
      </w:pPr>
      <w:r>
        <w:t xml:space="preserve">BBF-22: Backwards Compatibility</w:t>
      </w:r>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[4]</w:t>
        </w:r>
      </w:hyperlink>
      <w:r>
        <w:t xml:space="preserve"> </w:t>
      </w:r>
      <w:r>
        <w:t xml:space="preserve">section</w:t>
      </w:r>
      <w:r>
        <w:t xml:space="preserve"> </w:t>
      </w:r>
      <w:hyperlink r:id="rId135">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36"/>
    <w:bookmarkStart w:id="137"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37"/>
    <w:bookmarkStart w:id="138"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38"/>
    <w:bookmarkStart w:id="139"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bookmarkEnd w:id="139"/>
    <w:bookmarkStart w:id="142"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[4]</w:t>
        </w:r>
      </w:hyperlink>
      <w:r>
        <w:t xml:space="preserve"> </w:t>
      </w:r>
      <w:r>
        <w:t xml:space="preserve">section</w:t>
      </w:r>
      <w:r>
        <w:t xml:space="preserve"> </w:t>
      </w:r>
      <w:hyperlink r:id="rId140">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[6]</w:t>
        </w:r>
      </w:hyperlink>
      <w:r>
        <w:t xml:space="preserve"> </w:t>
      </w:r>
      <w:r>
        <w:t xml:space="preserve">Appendix</w:t>
      </w:r>
      <w:r>
        <w:t xml:space="preserve"> </w:t>
      </w:r>
      <w:hyperlink r:id="rId141">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bookmarkEnd w:id="142"/>
    <w:bookmarkStart w:id="143"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43"/>
    <w:bookmarkStart w:id="144"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44"/>
    <w:bookmarkStart w:id="145"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45"/>
    <w:bookmarkStart w:id="146" w:name="sec:bbf-30-use-of-presence-statements"/>
    <w:p>
      <w:pPr>
        <w:pStyle w:val="Heading3"/>
      </w:pPr>
      <w:r>
        <w:t xml:space="preserve">BBF-30: Use of Presence statements</w:t>
      </w:r>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bookmarkEnd w:id="146"/>
    <w:bookmarkStart w:id="147" w:name="X79b6fd6ecbb4358b3ec3fadbfda31be16bc6461"/>
    <w:p>
      <w:pPr>
        <w:pStyle w:val="Heading3"/>
      </w:pPr>
      <w:r>
        <w:t xml:space="preserve">BBF-31: Formatting XPath expression arguments of YANG statements</w:t>
      </w:r>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bookmarkEnd w:id="147"/>
    <w:bookmarkStart w:id="148" w:name="sec:bbf-32-naming-choices"/>
    <w:p>
      <w:pPr>
        <w:pStyle w:val="Heading3"/>
      </w:pPr>
      <w:r>
        <w:t xml:space="preserve">BBF-32: Naming choices</w:t>
      </w:r>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48"/>
    <w:bookmarkStart w:id="149" w:name="X2e42482474bff85602ba9b0a80398eec573ea06"/>
    <w:p>
      <w:pPr>
        <w:pStyle w:val="Heading3"/>
      </w:pPr>
      <w:r>
        <w:t xml:space="preserve">BBF-33: Mapping of alarm type identifiers to ITU-T X.733 and ITU-T X.736 event types</w:t>
      </w:r>
    </w:p>
    <w:p>
      <w:pPr>
        <w:pStyle w:val="FirstParagraph"/>
      </w:pPr>
      <w:r>
        <w:t xml:space="preserve">ITU-T X.733 Clause 8.1.1</w:t>
      </w:r>
      <w:r>
        <w:t xml:space="preserve"> </w:t>
      </w:r>
      <w:hyperlink w:anchor="ref-X.733">
        <w:r>
          <w:rPr>
            <w:rStyle w:val="Hyperlink"/>
          </w:rPr>
          <w:t xml:space="preserve">[8]</w:t>
        </w:r>
      </w:hyperlink>
      <w:r>
        <w:t xml:space="preserve"> </w:t>
      </w:r>
      <w:r>
        <w:t xml:space="preserve">and ITU-T X.736 Clause 8.1.1</w:t>
      </w:r>
      <w:r>
        <w:t xml:space="preserve"> </w:t>
      </w:r>
      <w:hyperlink w:anchor="ref-X.736">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ref-TR-383">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ref-RFC8632">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bookmarkEnd w:id="149"/>
    <w:bookmarkEnd w:id="150"/>
    <w:bookmarkStart w:id="159"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51"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bookmarkEnd w:id="151"/>
    <w:bookmarkStart w:id="152"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bookmarkEnd w:id="152"/>
    <w:bookmarkStart w:id="153"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53"/>
    <w:bookmarkStart w:id="154"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54"/>
    <w:bookmarkStart w:id="155"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55"/>
    <w:bookmarkStart w:id="156"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56"/>
    <w:bookmarkStart w:id="157"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57"/>
    <w:bookmarkStart w:id="158" w:name="sec:dev-7-add---mandatory-leaf"/>
    <w:p>
      <w:pPr>
        <w:pStyle w:val="Heading3"/>
      </w:pPr>
      <w:r>
        <w:t xml:space="preserve">DEV-7: add - Mandatory leaf</w:t>
      </w:r>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bookmarkEnd w:id="158"/>
    <w:bookmarkEnd w:id="159"/>
    <w:bookmarkStart w:id="171"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60">
        <w:r>
          <w:rPr>
            <w:rStyle w:val="Hyperlink"/>
          </w:rPr>
          <w:t xml:space="preserve">NIST Special Publication 811</w:t>
        </w:r>
      </w:hyperlink>
    </w:p>
    <w:bookmarkStart w:id="161"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61"/>
    <w:bookmarkStart w:id="162"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62"/>
    <w:bookmarkStart w:id="163"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63"/>
    <w:bookmarkStart w:id="164"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64"/>
    <w:bookmarkStart w:id="165"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65"/>
    <w:bookmarkStart w:id="166"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66"/>
    <w:bookmarkStart w:id="167"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67"/>
    <w:bookmarkStart w:id="168"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68"/>
    <w:bookmarkStart w:id="169"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69"/>
    <w:bookmarkStart w:id="170"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2026-03-12T17:50:22Z</dcterms:created>
  <dcterms:modified xsi:type="dcterms:W3CDTF">2026-03-12T17:50:22Z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scription-meta">
    <vt:lpwstr>OD-360 – Broadband Forum YANG Modules: A set of YANG modules for managing access networks</vt:lpwstr>
  </property>
  <property fmtid="{D5CDD505-2E9C-101B-9397-08002B2CF9AE}" pid="35" name="doctitle">
    <vt:lpwstr>OD-360 – BBF YANG Best Current Practices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od</vt:lpwstr>
  </property>
  <property fmtid="{D5CDD505-2E9C-101B-9397-08002B2CF9AE}" pid="45" name="numberSections">
    <vt:lpwstr>False</vt:lpwstr>
  </property>
  <property fmtid="{D5CDD505-2E9C-101B-9397-08002B2CF9AE}" pid="46" name="pairDelim">
    <vt:lpwstr> and </vt:lpwstr>
  </property>
  <property fmtid="{D5CDD505-2E9C-101B-9397-08002B2CF9AE}" pid="47" name="project">
    <vt:lpwstr>Broadband Forum YANG Modules</vt:lpwstr>
  </property>
  <property fmtid="{D5CDD505-2E9C-101B-9397-08002B2CF9AE}" pid="48" name="reference-section-title">
    <vt:lpwstr>References</vt:lpwstr>
  </property>
  <property fmtid="{D5CDD505-2E9C-101B-9397-08002B2CF9AE}" pid="49" name="repodesc">
    <vt:lpwstr>specification source</vt:lpwstr>
  </property>
  <property fmtid="{D5CDD505-2E9C-101B-9397-08002B2CF9AE}" pid="50" name="reponame">
    <vt:lpwstr>yang</vt:lpwstr>
  </property>
  <property fmtid="{D5CDD505-2E9C-101B-9397-08002B2CF9AE}" pid="51" name="secPrefix">
    <vt:lpwstr/>
  </property>
  <property fmtid="{D5CDD505-2E9C-101B-9397-08002B2CF9AE}" pid="52" name="sectionsDepth">
    <vt:lpwstr>-1</vt:lpwstr>
  </property>
  <property fmtid="{D5CDD505-2E9C-101B-9397-08002B2CF9AE}" pid="53" name="shortname">
    <vt:lpwstr>OD-360</vt:lpwstr>
  </property>
  <property fmtid="{D5CDD505-2E9C-101B-9397-08002B2CF9AE}" pid="54" name="siteurl">
    <vt:lpwstr>index.html</vt:lpwstr>
  </property>
  <property fmtid="{D5CDD505-2E9C-101B-9397-08002B2CF9AE}" pid="55" name="status">
    <vt:lpwstr/>
  </property>
  <property fmtid="{D5CDD505-2E9C-101B-9397-08002B2CF9AE}" pid="56" name="subtitle">
    <vt:lpwstr>Issue: 1 Amendment 3  </vt:lpwstr>
  </property>
  <property fmtid="{D5CDD505-2E9C-101B-9397-08002B2CF9AE}" pid="57"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8" name="tagline">
    <vt:lpwstr>A set of YANG modules for managing access networks</vt:lpwstr>
  </property>
  <property fmtid="{D5CDD505-2E9C-101B-9397-08002B2CF9AE}" pid="59" name="tblPrefix">
    <vt:lpwstr/>
  </property>
  <property fmtid="{D5CDD505-2E9C-101B-9397-08002B2CF9AE}" pid="60" name="theme-color">
    <vt:lpwstr>#157878</vt:lpwstr>
  </property>
  <property fmtid="{D5CDD505-2E9C-101B-9397-08002B2CF9AE}" pid="61" name="title-prefix">
    <vt:lpwstr>BBF</vt:lpwstr>
  </property>
  <property fmtid="{D5CDD505-2E9C-101B-9397-08002B2CF9AE}" pid="62" name="titleDelim">
    <vt:lpwstr> –</vt:lpwstr>
  </property>
  <property fmtid="{D5CDD505-2E9C-101B-9397-08002B2CF9AE}" pid="63" name="titleid">
    <vt:lpwstr>title</vt:lpwstr>
  </property>
  <property fmtid="{D5CDD505-2E9C-101B-9397-08002B2CF9AE}" pid="64" name="uspAcknowledgmentsSpec">
    <vt:lpwstr/>
  </property>
  <property fmtid="{D5CDD505-2E9C-101B-9397-08002B2CF9AE}" pid="65" name="uspEditorsSpec">
    <vt:lpwstr/>
  </property>
  <property fmtid="{D5CDD505-2E9C-101B-9397-08002B2CF9AE}" pid="66" name="uspPSLsSpec">
    <vt:lpwstr/>
  </property>
  <property fmtid="{D5CDD505-2E9C-101B-9397-08002B2CF9AE}" pid="67" name="uspRevisionHistorySpec">
    <vt:lpwstr/>
  </property>
  <property fmtid="{D5CDD505-2E9C-101B-9397-08002B2CF9AE}" pid="68" name="uspWADsSpec">
    <vt:lpwstr/>
  </property>
  <property fmtid="{D5CDD505-2E9C-101B-9397-08002B2CF9AE}" pid="69" name="version">
    <vt:lpwstr/>
  </property>
  <property fmtid="{D5CDD505-2E9C-101B-9397-08002B2CF9AE}" pid="70" name="website">
    <vt:lpwstr>https://yang.broadband-forum.org</vt:lpwstr>
  </property>
</Properties>
</file>