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3 </w:t>
      </w:r>
      <w:r>
        <w:t xml:space="preserve"> </w:t>
      </w:r>
    </w:p>
    <w:p>
      <w:pPr>
        <w:pStyle w:val="Date"/>
      </w:pPr>
      <w:r>
        <w:t xml:space="preserve">Issue Date: 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3"/>
      </w:pPr>
      <w:bookmarkStart w:id="9" w:name="_f742a1a4b8d4adc352672b7858cd31b7f4d0972"/>
      <w:r>
        <w:t xml:space="preserve">List of Figures</w:t>
      </w:r>
      <w:bookmarkEnd w:id="9"/>
    </w:p>
    <w:p>
      <w:pPr>
        <w:pStyle w:val="Heading3"/>
      </w:pPr>
      <w:bookmarkStart w:id="10" w:name="_05d3edcf1911c8e89bfeb1b8c208493461f609b"/>
      <w:r>
        <w:t xml:space="preserve">List of Tables</w:t>
      </w:r>
      <w:bookmarkEnd w:id="10"/>
    </w:p>
    <w:p>
      <w:pPr>
        <w:pStyle w:val="Heading3"/>
      </w:pPr>
      <w:bookmarkStart w:id="11" w:name="_143e7f2b74494b04838ef07d1932890d8d194e3"/>
      <w:r>
        <w:t xml:space="preserve">Issue History</w:t>
      </w:r>
      <w:bookmarkEnd w:id="11"/>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12">
              <w:r>
                <w:rPr>
                  <w:rStyle w:val="Hyperlink"/>
                </w:rPr>
                <w:t xml:space="preserve">Issue 1</w:t>
              </w:r>
            </w:hyperlink>
          </w:p>
        </w:tc>
        <w:tc>
          <w:tcPr/>
          <w:p>
            <w:pPr>
              <w:pStyle w:val="Compact"/>
              <w:jc w:val="left"/>
            </w:pPr>
            <w:r>
              <w:t xml:space="preserve">February 2022</w:t>
            </w:r>
          </w:p>
        </w:tc>
        <w:tc>
          <w:tcPr/>
          <w:p>
            <w:pPr>
              <w:pStyle w:val="Compact"/>
              <w:numPr>
                <w:ilvl w:val="0"/>
                <w:numId w:val="1003"/>
              </w:numPr>
              <w:jc w:val="left"/>
            </w:pPr>
            <w:r>
              <w:t xml:space="preserve">Joey Boyd, Adtran</w:t>
            </w:r>
          </w:p>
        </w:tc>
        <w:tc>
          <w:tcPr/>
          <w:p>
            <w:pPr>
              <w:pStyle w:val="Compact"/>
              <w:numPr>
                <w:ilvl w:val="0"/>
                <w:numId w:val="1004"/>
              </w:numPr>
              <w:jc w:val="left"/>
            </w:pPr>
            <w:r>
              <w:t xml:space="preserve">Initial version</w:t>
            </w:r>
          </w:p>
        </w:tc>
      </w:tr>
      <w:tr>
        <w:tc>
          <w:tcPr/>
          <w:p>
            <w:pPr>
              <w:pStyle w:val="Compact"/>
              <w:jc w:val="left"/>
            </w:pPr>
            <w:hyperlink r:id="rId13">
              <w:r>
                <w:rPr>
                  <w:rStyle w:val="Hyperlink"/>
                </w:rPr>
                <w:t xml:space="preserve">Amendment 1</w:t>
              </w:r>
            </w:hyperlink>
          </w:p>
        </w:tc>
        <w:tc>
          <w:tcPr/>
          <w:p>
            <w:pPr>
              <w:pStyle w:val="Compact"/>
              <w:jc w:val="left"/>
            </w:pPr>
            <w:r>
              <w:t xml:space="preserve">March 2023</w:t>
            </w:r>
          </w:p>
        </w:tc>
        <w:tc>
          <w:tcPr/>
          <w:p>
            <w:pPr>
              <w:pStyle w:val="Compact"/>
              <w:numPr>
                <w:ilvl w:val="0"/>
                <w:numId w:val="1005"/>
              </w:numPr>
              <w:jc w:val="left"/>
            </w:pPr>
            <w:r>
              <w:t xml:space="preserve">Joey Boyd, Adtran</w:t>
            </w:r>
          </w:p>
        </w:tc>
        <w:tc>
          <w:tcPr/>
          <w:p>
            <w:pPr>
              <w:pStyle w:val="Compact"/>
              <w:numPr>
                <w:ilvl w:val="0"/>
                <w:numId w:val="1006"/>
              </w:numPr>
              <w:jc w:val="left"/>
            </w:pPr>
            <w:r>
              <w:t xml:space="preserve">Add</w:t>
            </w:r>
            <w:r>
              <w:t xml:space="preserve"> </w:t>
            </w:r>
            <w:r>
              <w:t xml:space="preserve">‘units’</w:t>
            </w:r>
            <w:r>
              <w:t xml:space="preserve"> </w:t>
            </w:r>
            <w:r>
              <w:t xml:space="preserve">statement guidelines</w:t>
            </w:r>
          </w:p>
        </w:tc>
      </w:tr>
      <w:tr>
        <w:tc>
          <w:tcPr/>
          <w:p>
            <w:pPr>
              <w:pStyle w:val="Compact"/>
              <w:jc w:val="left"/>
            </w:pPr>
            <w:hyperlink r:id="rId14">
              <w:r>
                <w:rPr>
                  <w:rStyle w:val="Hyperlink"/>
                </w:rPr>
                <w:t xml:space="preserve">Amendment 2</w:t>
              </w:r>
            </w:hyperlink>
          </w:p>
        </w:tc>
        <w:tc>
          <w:tcPr/>
          <w:p>
            <w:pPr>
              <w:pStyle w:val="Compact"/>
              <w:jc w:val="left"/>
            </w:pPr>
            <w:r>
              <w:t xml:space="preserve">January 2024</w:t>
            </w:r>
          </w:p>
        </w:tc>
        <w:tc>
          <w:tcPr/>
          <w:p>
            <w:pPr>
              <w:pStyle w:val="Compact"/>
              <w:numPr>
                <w:ilvl w:val="0"/>
                <w:numId w:val="1007"/>
              </w:numPr>
              <w:jc w:val="left"/>
            </w:pPr>
            <w:r>
              <w:t xml:space="preserve">Joey Boyd, Adtran</w:t>
            </w:r>
          </w:p>
        </w:tc>
        <w:tc>
          <w:tcPr/>
          <w:p>
            <w:pPr>
              <w:pStyle w:val="Compact"/>
              <w:numPr>
                <w:ilvl w:val="0"/>
                <w:numId w:val="1008"/>
              </w:numPr>
              <w:jc w:val="left"/>
            </w:pPr>
            <w:r>
              <w:t xml:space="preserve">Add new IETF guidelines IETF-21 and IETF-22.</w:t>
            </w:r>
          </w:p>
          <w:p>
            <w:pPr>
              <w:pStyle w:val="Compact"/>
              <w:numPr>
                <w:ilvl w:val="0"/>
                <w:numId w:val="1008"/>
              </w:numPr>
              <w:jc w:val="left"/>
            </w:pPr>
            <w:r>
              <w:t xml:space="preserve">Add new BBF guidelines BBF-21 through BBF-29.</w:t>
            </w:r>
          </w:p>
          <w:p>
            <w:pPr>
              <w:pStyle w:val="Compact"/>
              <w:numPr>
                <w:ilvl w:val="0"/>
                <w:numId w:val="1008"/>
              </w:numPr>
              <w:jc w:val="left"/>
            </w:pPr>
            <w:r>
              <w:t xml:space="preserve">Address minor corrections to existing guidelines.</w:t>
            </w:r>
          </w:p>
        </w:tc>
      </w:tr>
      <w:tr>
        <w:tc>
          <w:tcPr/>
          <w:p>
            <w:pPr>
              <w:pStyle w:val="Compact"/>
              <w:jc w:val="left"/>
            </w:pPr>
            <w:hyperlink r:id="rId15">
              <w:r>
                <w:rPr>
                  <w:rStyle w:val="Hyperlink"/>
                </w:rPr>
                <w:t xml:space="preserve">Amendment 3</w:t>
              </w:r>
            </w:hyperlink>
          </w:p>
        </w:tc>
        <w:tc>
          <w:tcPr/>
          <w:p>
            <w:pPr>
              <w:pStyle w:val="Compact"/>
              <w:jc w:val="left"/>
            </w:pPr>
            <w:r>
              <w:t xml:space="preserve">February 2026</w:t>
            </w:r>
          </w:p>
        </w:tc>
        <w:tc>
          <w:tcPr/>
          <w:p>
            <w:pPr>
              <w:pStyle w:val="Compact"/>
              <w:numPr>
                <w:ilvl w:val="0"/>
                <w:numId w:val="1009"/>
              </w:numPr>
              <w:jc w:val="left"/>
            </w:pPr>
            <w:r>
              <w:t xml:space="preserve">Joey Boyd, Adtran</w:t>
            </w:r>
          </w:p>
          <w:p>
            <w:pPr>
              <w:pStyle w:val="Compact"/>
              <w:numPr>
                <w:ilvl w:val="0"/>
                <w:numId w:val="1009"/>
              </w:numPr>
              <w:jc w:val="left"/>
            </w:pPr>
            <w:r>
              <w:t xml:space="preserve">Sven Ooghe, Nokia</w:t>
            </w:r>
          </w:p>
        </w:tc>
        <w:tc>
          <w:tcPr/>
          <w:p>
            <w:pPr>
              <w:pStyle w:val="Compact"/>
              <w:numPr>
                <w:ilvl w:val="0"/>
                <w:numId w:val="1010"/>
              </w:numPr>
              <w:jc w:val="left"/>
            </w:pPr>
            <w:r>
              <w:t xml:space="preserve">Add new IETF guideline IETF-23.</w:t>
            </w:r>
          </w:p>
          <w:p>
            <w:pPr>
              <w:pStyle w:val="Compact"/>
              <w:numPr>
                <w:ilvl w:val="0"/>
                <w:numId w:val="1010"/>
              </w:numPr>
              <w:jc w:val="left"/>
            </w:pPr>
            <w:r>
              <w:t xml:space="preserve">Add new BBF guidelines BBF-30 through BBF-33.</w:t>
            </w:r>
          </w:p>
          <w:p>
            <w:pPr>
              <w:pStyle w:val="Compact"/>
              <w:numPr>
                <w:ilvl w:val="0"/>
                <w:numId w:val="1010"/>
              </w:numPr>
              <w:jc w:val="left"/>
            </w:pPr>
            <w:r>
              <w:t xml:space="preserve">Add new deviation guideline DEV-7.</w:t>
            </w:r>
          </w:p>
          <w:p>
            <w:pPr>
              <w:pStyle w:val="Compact"/>
              <w:numPr>
                <w:ilvl w:val="0"/>
                <w:numId w:val="1010"/>
              </w:numPr>
              <w:jc w:val="left"/>
            </w:pPr>
            <w:r>
              <w:t xml:space="preserve">Address minor corrections to existing guidelines.</w:t>
            </w:r>
          </w:p>
        </w:tc>
      </w:tr>
    </w:tbl>
    <w:p>
      <w:pPr>
        <w:pStyle w:val="FirstParagraph"/>
      </w:pPr>
      <w:r>
        <w:t xml:space="preserve">Comments or questions about this Broadband Forum should be directed to</w:t>
      </w:r>
      <w:r>
        <w:t xml:space="preserve"> </w:t>
      </w:r>
      <w:hyperlink r:id="rId16">
        <w:r>
          <w:rPr>
            <w:rStyle w:val="Hyperlink"/>
          </w:rPr>
          <w:t xml:space="preserve">info@broadband-forum.org</w:t>
        </w:r>
      </w:hyperlink>
      <w:r>
        <w:t xml:space="preserve">.</w:t>
      </w:r>
    </w:p>
    <w:p>
      <w:pPr>
        <w:pStyle w:val="Heading3"/>
      </w:pPr>
      <w:bookmarkStart w:id="17" w:name="_4fef1be4eb93ac5f8fa84491660c36afa339e03"/>
      <w:r>
        <w:t xml:space="preserve">Editors</w:t>
      </w:r>
      <w:bookmarkEnd w:id="17"/>
    </w:p>
    <w:p>
      <w:pPr>
        <w:pStyle w:val="Compact"/>
        <w:numPr>
          <w:ilvl w:val="0"/>
          <w:numId w:val="1011"/>
        </w:numPr>
      </w:pPr>
      <w:r>
        <w:t xml:space="preserve">Joey Boyd, Adtran</w:t>
      </w:r>
    </w:p>
    <w:p>
      <w:pPr>
        <w:pStyle w:val="Compact"/>
        <w:numPr>
          <w:ilvl w:val="0"/>
          <w:numId w:val="1011"/>
        </w:numPr>
      </w:pPr>
      <w:r>
        <w:t xml:space="preserve">Sven Ooghe, Nokia</w:t>
      </w:r>
    </w:p>
    <w:p>
      <w:pPr>
        <w:pStyle w:val="Heading3"/>
      </w:pPr>
      <w:bookmarkStart w:id="18" w:name="_d4c85d3d7e71c404ed36af87e5aadfc52ebb55a"/>
      <w:r>
        <w:t xml:space="preserve">Notice</w:t>
      </w:r>
      <w:bookmarkEnd w:id="18"/>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p>
      <w:pPr>
        <w:pStyle w:val="Heading3"/>
      </w:pPr>
      <w:bookmarkStart w:id="19" w:name="_044c5a7b2231e7c8153317dc5b2e2f90f06088b"/>
      <w:r>
        <w:t xml:space="preserve">Intellectual Property</w:t>
      </w:r>
      <w:bookmarkEnd w:id="19"/>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p>
      <w:pPr>
        <w:pStyle w:val="Heading3"/>
      </w:pPr>
      <w:bookmarkStart w:id="20" w:name="_2c4a3b55e277a7fdc80abfce3b61246cecb032e"/>
      <w:r>
        <w:t xml:space="preserve">Terms of Use</w:t>
      </w:r>
      <w:bookmarkEnd w:id="20"/>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p>
      <w:pPr>
        <w:pStyle w:val="Heading1"/>
      </w:pPr>
      <w:bookmarkStart w:id="21" w:name="_e101cb4db063275589cf296bc23cc80577ab383"/>
      <w:r>
        <w:t xml:space="preserve">References</w:t>
      </w:r>
      <w:bookmarkEnd w:id="21"/>
    </w:p>
    <w:bookmarkStart w:id="40" w:name="_refs"/>
    <w:bookmarkStart w:id="23" w:name="_c881cfca486279894d799dfa985220a9373daeb"/>
    <w:p>
      <w:pPr>
        <w:pStyle w:val="Bibliography"/>
      </w:pPr>
      <w:r>
        <w:t xml:space="preserve">[1]</w:t>
      </w:r>
      <w:r>
        <w:t xml:space="preserve"> </w:t>
      </w:r>
      <w:r>
        <w:t xml:space="preserve">	</w:t>
      </w:r>
      <w:r>
        <w:t xml:space="preserve">TR-383 Amendment 8,</w:t>
      </w:r>
      <w:r>
        <w:t xml:space="preserve"> </w:t>
      </w:r>
      <w:hyperlink r:id="rId22">
        <w:r>
          <w:rPr>
            <w:rStyle w:val="Hyperlink"/>
            <w:i/>
            <w:iCs/>
          </w:rPr>
          <w:t xml:space="preserve">Common YANG Modules for Access Networks</w:t>
        </w:r>
      </w:hyperlink>
      <w:r>
        <w:t xml:space="preserve">, Broadband Forum, 2024</w:t>
      </w:r>
    </w:p>
    <w:bookmarkEnd w:id="23"/>
    <w:bookmarkStart w:id="25" w:name="_6c4b3b0cc44b9f22320d733ea58300db69e066a"/>
    <w:p>
      <w:pPr>
        <w:pStyle w:val="Bibliography"/>
      </w:pPr>
      <w:r>
        <w:t xml:space="preserve">[2]</w:t>
      </w:r>
      <w:r>
        <w:t xml:space="preserve"> </w:t>
      </w:r>
      <w:r>
        <w:t xml:space="preserve">	</w:t>
      </w:r>
      <w:r>
        <w:t xml:space="preserve">RFC 2119,</w:t>
      </w:r>
      <w:r>
        <w:t xml:space="preserve"> </w:t>
      </w:r>
      <w:hyperlink r:id="rId24">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25"/>
    <w:bookmarkStart w:id="27" w:name="_f831072a942d0ab6406c7261ba9cac8a33a6879"/>
    <w:p>
      <w:pPr>
        <w:pStyle w:val="Bibliography"/>
      </w:pPr>
      <w:r>
        <w:t xml:space="preserve">[3]</w:t>
      </w:r>
      <w:r>
        <w:t xml:space="preserve"> </w:t>
      </w:r>
      <w:r>
        <w:t xml:space="preserve">	</w:t>
      </w:r>
      <w:r>
        <w:t xml:space="preserve">RFC 7223,</w:t>
      </w:r>
      <w:r>
        <w:t xml:space="preserve"> </w:t>
      </w:r>
      <w:hyperlink r:id="rId26">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27"/>
    <w:bookmarkStart w:id="29" w:name="_9aa1375053d51ce8fa8cdf71cde3bc0571671c1"/>
    <w:p>
      <w:pPr>
        <w:pStyle w:val="Bibliography"/>
      </w:pPr>
      <w:r>
        <w:t xml:space="preserve">[4]</w:t>
      </w:r>
      <w:r>
        <w:t xml:space="preserve"> </w:t>
      </w:r>
      <w:r>
        <w:t xml:space="preserve">	</w:t>
      </w:r>
      <w:r>
        <w:t xml:space="preserve">RFC 7950,</w:t>
      </w:r>
      <w:r>
        <w:t xml:space="preserve"> </w:t>
      </w:r>
      <w:hyperlink r:id="rId28">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29"/>
    <w:bookmarkStart w:id="31" w:name="_943b97c665eaf72ff6d393a545d612758cbcb3a"/>
    <w:p>
      <w:pPr>
        <w:pStyle w:val="Bibliography"/>
      </w:pPr>
      <w:r>
        <w:t xml:space="preserve">[5]</w:t>
      </w:r>
      <w:r>
        <w:t xml:space="preserve"> </w:t>
      </w:r>
      <w:r>
        <w:t xml:space="preserve">	</w:t>
      </w:r>
      <w:r>
        <w:t xml:space="preserve">RFC 8174,</w:t>
      </w:r>
      <w:r>
        <w:t xml:space="preserve"> </w:t>
      </w:r>
      <w:hyperlink r:id="rId30">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31"/>
    <w:bookmarkStart w:id="33" w:name="_3ad76c0cb9b1ead647a1dff13fc24ddd70b3bb0"/>
    <w:p>
      <w:pPr>
        <w:pStyle w:val="Bibliography"/>
      </w:pPr>
      <w:r>
        <w:t xml:space="preserve">[6]</w:t>
      </w:r>
      <w:r>
        <w:t xml:space="preserve"> </w:t>
      </w:r>
      <w:r>
        <w:t xml:space="preserve">	</w:t>
      </w:r>
      <w:r>
        <w:t xml:space="preserve">RFC 8407,</w:t>
      </w:r>
      <w:r>
        <w:t xml:space="preserve"> </w:t>
      </w:r>
      <w:hyperlink r:id="rId32">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33"/>
    <w:bookmarkStart w:id="35" w:name="_989e6c6e50f32938c6eb9e2e354cca8a0aff0ae"/>
    <w:p>
      <w:pPr>
        <w:pStyle w:val="Bibliography"/>
      </w:pPr>
      <w:r>
        <w:t xml:space="preserve">[7]</w:t>
      </w:r>
      <w:r>
        <w:t xml:space="preserve"> </w:t>
      </w:r>
      <w:r>
        <w:t xml:space="preserve">	</w:t>
      </w:r>
      <w:r>
        <w:t xml:space="preserve">RFC 8632,</w:t>
      </w:r>
      <w:r>
        <w:t xml:space="preserve"> </w:t>
      </w:r>
      <w:hyperlink r:id="rId34">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Alarm</w:t>
        </w:r>
        <w:r>
          <w:rPr>
            <w:rStyle w:val="Hyperlink"/>
            <w:i/>
            <w:iCs/>
          </w:rPr>
          <w:t xml:space="preserve"> </w:t>
        </w:r>
        <w:r>
          <w:rPr>
            <w:rStyle w:val="Hyperlink"/>
            <w:i/>
            <w:iCs/>
          </w:rPr>
          <w:t xml:space="preserve">Management</w:t>
        </w:r>
      </w:hyperlink>
      <w:r>
        <w:t xml:space="preserve">, IETF, 2019</w:t>
      </w:r>
    </w:p>
    <w:bookmarkEnd w:id="35"/>
    <w:bookmarkStart w:id="37" w:name="_1c483dfdcd2d45170f9d1d1b9fcded940f44491"/>
    <w:p>
      <w:pPr>
        <w:pStyle w:val="Bibliography"/>
      </w:pPr>
      <w:r>
        <w:t xml:space="preserve">[8]</w:t>
      </w:r>
      <w:r>
        <w:t xml:space="preserve"> </w:t>
      </w:r>
      <w:r>
        <w:t xml:space="preserve">	</w:t>
      </w:r>
      <w:r>
        <w:t xml:space="preserve">X.733,</w:t>
      </w:r>
      <w:r>
        <w:t xml:space="preserve"> </w:t>
      </w:r>
      <w:hyperlink r:id="rId3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Alarm</w:t>
        </w:r>
        <w:r>
          <w:rPr>
            <w:rStyle w:val="Hyperlink"/>
            <w:i/>
            <w:iCs/>
          </w:rPr>
          <w:t xml:space="preserve"> </w:t>
        </w:r>
        <w:r>
          <w:rPr>
            <w:rStyle w:val="Hyperlink"/>
            <w:i/>
            <w:iCs/>
          </w:rPr>
          <w:t xml:space="preserve">reporting function</w:t>
        </w:r>
      </w:hyperlink>
      <w:r>
        <w:t xml:space="preserve">, ITU-T, 1992</w:t>
      </w:r>
    </w:p>
    <w:bookmarkEnd w:id="37"/>
    <w:bookmarkStart w:id="39" w:name="_bcbc3edaee3875fd549183b99e7c4e09ee66c93"/>
    <w:p>
      <w:pPr>
        <w:pStyle w:val="Bibliography"/>
      </w:pPr>
      <w:r>
        <w:t xml:space="preserve">[9]</w:t>
      </w:r>
      <w:r>
        <w:t xml:space="preserve"> </w:t>
      </w:r>
      <w:r>
        <w:t xml:space="preserve">	</w:t>
      </w:r>
      <w:r>
        <w:t xml:space="preserve">X.736,</w:t>
      </w:r>
      <w:r>
        <w:t xml:space="preserve"> </w:t>
      </w:r>
      <w:hyperlink r:id="rId38">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alarm reporting function</w:t>
        </w:r>
      </w:hyperlink>
      <w:r>
        <w:t xml:space="preserve">, ITU-T, 1992</w:t>
      </w:r>
    </w:p>
    <w:bookmarkEnd w:id="39"/>
    <w:bookmarkEnd w:id="40"/>
    <w:p>
      <w:pPr>
        <w:pStyle w:val="Heading1"/>
      </w:pPr>
      <w:bookmarkStart w:id="41" w:name="_279c7be24ce3f918302a50480b57d7175e44ea1"/>
      <w:r>
        <w:t xml:space="preserve">Overview</w:t>
      </w:r>
      <w:bookmarkEnd w:id="41"/>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p>
      <w:pPr>
        <w:pStyle w:val="Heading2"/>
      </w:pPr>
      <w:bookmarkStart w:id="42" w:name="_7938ca58b1a63e8a9e94d50e2f6148fc6e7f1a2"/>
      <w:r>
        <w:t xml:space="preserve">YANG Language Version</w:t>
      </w:r>
      <w:bookmarkEnd w:id="42"/>
    </w:p>
    <w:p>
      <w:pPr>
        <w:pStyle w:val="FirstParagraph"/>
      </w:pPr>
      <w:r>
        <w:t xml:space="preserve">The BBF has adopted YANG 1.1</w:t>
      </w:r>
      <w:r>
        <w:t xml:space="preserve"> </w:t>
      </w:r>
      <w:hyperlink w:anchor="_9aa1375053d51ce8fa8cdf71cde3bc0571671c1">
        <w:r>
          <w:rPr>
            <w:rStyle w:val="Hyperlink"/>
          </w:rPr>
          <w:t xml:space="preserve">[4]</w:t>
        </w:r>
      </w:hyperlink>
      <w:r>
        <w:t xml:space="preserve"> </w:t>
      </w:r>
      <w:r>
        <w:t xml:space="preserve">for use in all BBF YANG Data Models.</w:t>
      </w:r>
    </w:p>
    <w:p>
      <w:pPr>
        <w:pStyle w:val="Heading1"/>
      </w:pPr>
      <w:bookmarkStart w:id="43" w:name="_d4e3303d2aa9431840568c280abcaf7ab0dc85f"/>
      <w:r>
        <w:t xml:space="preserve">YANG Guidelines</w:t>
      </w:r>
      <w:bookmarkEnd w:id="43"/>
    </w:p>
    <w:p>
      <w:pPr>
        <w:pStyle w:val="FirstParagraph"/>
      </w:pPr>
      <w:r>
        <w:t xml:space="preserve">These YANG guidelines are organized as follows:</w:t>
      </w:r>
    </w:p>
    <w:p>
      <w:pPr>
        <w:pStyle w:val="Compact"/>
        <w:numPr>
          <w:ilvl w:val="0"/>
          <w:numId w:val="1012"/>
        </w:numPr>
      </w:pPr>
      <w:r>
        <w:t xml:space="preserve">Those based on IETF YANG Guidelines</w:t>
      </w:r>
    </w:p>
    <w:p>
      <w:pPr>
        <w:pStyle w:val="Compact"/>
        <w:numPr>
          <w:ilvl w:val="0"/>
          <w:numId w:val="1012"/>
        </w:numPr>
      </w:pPr>
      <w:r>
        <w:t xml:space="preserve">Additional BBF-specific guidelines</w:t>
      </w:r>
    </w:p>
    <w:p>
      <w:pPr>
        <w:pStyle w:val="Heading2"/>
      </w:pPr>
      <w:bookmarkStart w:id="44" w:name="_9e06e564bcba7e3683541d68bcfca03e0407aec"/>
      <w:r>
        <w:t xml:space="preserve">Terminology</w:t>
      </w:r>
      <w:bookmarkEnd w:id="44"/>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p>
      <w:pPr>
        <w:pStyle w:val="Heading2"/>
      </w:pPr>
      <w:bookmarkStart w:id="45" w:name="_1dbe84289226fe43840398f43fc0ee3c2fd440d"/>
      <w:r>
        <w:t xml:space="preserve">Template</w:t>
      </w:r>
      <w:bookmarkEnd w:id="45"/>
    </w:p>
    <w:p>
      <w:pPr>
        <w:pStyle w:val="FirstParagraph"/>
      </w:pPr>
      <w:r>
        <w:t xml:space="preserve">New YANG modules MAY be created from the BBF template as shown here:</w:t>
      </w:r>
      <w:r>
        <w:t xml:space="preserve"> </w:t>
      </w:r>
      <w:hyperlink r:id="rId46">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p>
      <w:pPr>
        <w:pStyle w:val="Heading2"/>
      </w:pPr>
      <w:bookmarkStart w:id="47" w:name="_05a33df62f9fade32adb44065730830273476fd"/>
      <w:r>
        <w:t xml:space="preserve">IETF YANG Guidelines</w:t>
      </w:r>
      <w:bookmarkEnd w:id="47"/>
    </w:p>
    <w:p>
      <w:pPr>
        <w:pStyle w:val="FirstParagraph"/>
      </w:pPr>
      <w:r>
        <w:t xml:space="preserve">The general principle is that the IETF YANG Guidelines, defined in RFC 8407</w:t>
      </w:r>
      <w:r>
        <w:t xml:space="preserve"> </w:t>
      </w:r>
      <w:hyperlink w:anchor="_3ad76c0cb9b1ead647a1dff13fc24ddd70b3bb0">
        <w:r>
          <w:rPr>
            <w:rStyle w:val="Hyperlink"/>
          </w:rPr>
          <w:t xml:space="preserve">[6]</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pStyle w:val="FirstParagraph"/>
        <w:numPr>
          <w:ilvl w:val="0"/>
          <w:numId w:val="1013"/>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pStyle w:val="FirstParagraph"/>
        <w:numPr>
          <w:ilvl w:val="0"/>
          <w:numId w:val="1013"/>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pStyle w:val="FirstParagraph"/>
        <w:numPr>
          <w:ilvl w:val="0"/>
          <w:numId w:val="1013"/>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p>
      <w:pPr>
        <w:pStyle w:val="Heading3"/>
      </w:pPr>
      <w:bookmarkStart w:id="48" w:name="_918664b1c342a03f0eb6f355338e64acd046efd"/>
      <w:r>
        <w:t xml:space="preserve">IETF-1: YANG Terms</w:t>
      </w:r>
      <w:bookmarkEnd w:id="48"/>
    </w:p>
    <w:p>
      <w:pPr>
        <w:pStyle w:val="FirstParagraph"/>
      </w:pPr>
      <w:r>
        <w:rPr>
          <w:i/>
          <w:iCs/>
        </w:rPr>
        <w:t xml:space="preserve">This guideline extends section</w:t>
      </w:r>
      <w:r>
        <w:rPr>
          <w:i/>
          <w:iCs/>
        </w:rPr>
        <w:t xml:space="preserve"> </w:t>
      </w:r>
      <w:hyperlink r:id="rId49">
        <w:r>
          <w:rPr>
            <w:rStyle w:val="Hyperlink"/>
            <w:i/>
            <w:iCs/>
          </w:rPr>
          <w:t xml:space="preserve">2.2</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p>
      <w:pPr>
        <w:pStyle w:val="Heading3"/>
      </w:pPr>
      <w:bookmarkStart w:id="50" w:name="_7921ac3c8863bd39deb94ab78d41c8062a8b7c2"/>
      <w:r>
        <w:t xml:space="preserve">IETF-2: YANG Validation</w:t>
      </w:r>
      <w:bookmarkEnd w:id="50"/>
    </w:p>
    <w:p>
      <w:pPr>
        <w:pStyle w:val="FirstParagraph"/>
      </w:pPr>
      <w:r>
        <w:rPr>
          <w:i/>
          <w:iCs/>
        </w:rPr>
        <w:t xml:space="preserve">This guideline overrides section</w:t>
      </w:r>
      <w:r>
        <w:rPr>
          <w:i/>
          <w:iCs/>
        </w:rPr>
        <w:t xml:space="preserve"> </w:t>
      </w:r>
      <w:hyperlink r:id="rId51">
        <w:r>
          <w:rPr>
            <w:rStyle w:val="Hyperlink"/>
            <w:i/>
            <w:iCs/>
          </w:rPr>
          <w:t xml:space="preserve">3.10</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52">
        <w:r>
          <w:rPr>
            <w:rStyle w:val="Hyperlink"/>
          </w:rPr>
          <w:t xml:space="preserve">PyPi</w:t>
        </w:r>
      </w:hyperlink>
      <w:r>
        <w:t xml:space="preserve">.</w:t>
      </w:r>
    </w:p>
    <w:p>
      <w:pPr>
        <w:pStyle w:val="BodyText"/>
      </w:pPr>
      <w:r>
        <w:t xml:space="preserve">The GitHub version of the pyang tool is available at</w:t>
      </w:r>
      <w:r>
        <w:t xml:space="preserve"> </w:t>
      </w:r>
      <w:hyperlink r:id="rId53">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54">
        <w:r>
          <w:rPr>
            <w:rStyle w:val="Hyperlink"/>
          </w:rPr>
          <w:t xml:space="preserve">https://hub.docker.com/r/broadbandforum/yangtools</w:t>
        </w:r>
      </w:hyperlink>
    </w:p>
    <w:p>
      <w:pPr>
        <w:pStyle w:val="Heading3"/>
      </w:pPr>
      <w:bookmarkStart w:id="55" w:name="_88dbe06ad087d664df1eaaba667a94d908af4a9"/>
      <w:r>
        <w:t xml:space="preserve">IETF-3: YANG Usage Guidelines</w:t>
      </w:r>
      <w:bookmarkEnd w:id="55"/>
    </w:p>
    <w:p>
      <w:pPr>
        <w:pStyle w:val="FirstParagraph"/>
      </w:pPr>
      <w:r>
        <w:rPr>
          <w:i/>
          <w:iCs/>
        </w:rPr>
        <w:t xml:space="preserve">This guideline restates section</w:t>
      </w:r>
      <w:r>
        <w:rPr>
          <w:i/>
          <w:iCs/>
        </w:rPr>
        <w:t xml:space="preserve"> </w:t>
      </w:r>
      <w:hyperlink r:id="rId56">
        <w:r>
          <w:rPr>
            <w:rStyle w:val="Hyperlink"/>
            <w:i/>
            <w:iCs/>
          </w:rPr>
          <w:t xml:space="preserve">4</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_9aa1375053d51ce8fa8cdf71cde3bc0571671c1">
        <w:r>
          <w:rPr>
            <w:rStyle w:val="Hyperlink"/>
          </w:rPr>
          <w:t xml:space="preserve">[4]</w:t>
        </w:r>
      </w:hyperlink>
      <w:r>
        <w:t xml:space="preserve">.</w:t>
      </w:r>
    </w:p>
    <w:p>
      <w:pPr>
        <w:pStyle w:val="Heading3"/>
      </w:pPr>
      <w:bookmarkStart w:id="57" w:name="_b8fdca19ff532590433a175dac15d10cc009062"/>
      <w:r>
        <w:t xml:space="preserve">IETF-4: File Layout</w:t>
      </w:r>
      <w:bookmarkEnd w:id="57"/>
    </w:p>
    <w:p>
      <w:pPr>
        <w:pStyle w:val="FirstParagraph"/>
      </w:pPr>
      <w:r>
        <w:rPr>
          <w:i/>
          <w:iCs/>
        </w:rPr>
        <w:t xml:space="preserve">This guideline overrides section</w:t>
      </w:r>
      <w:r>
        <w:rPr>
          <w:i/>
          <w:iCs/>
        </w:rPr>
        <w:t xml:space="preserve"> </w:t>
      </w:r>
      <w:hyperlink r:id="rId58">
        <w:r>
          <w:rPr>
            <w:rStyle w:val="Hyperlink"/>
            <w:i/>
            <w:iCs/>
          </w:rPr>
          <w:t xml:space="preserve">5.2</w:t>
        </w:r>
      </w:hyperlink>
      <w:r>
        <w:rPr>
          <w:i/>
          <w:iCs/>
        </w:rPr>
        <w:t xml:space="preserve"> </w:t>
      </w:r>
      <w:r>
        <w:rPr>
          <w:i/>
          <w:iCs/>
        </w:rPr>
        <w:t xml:space="preserve">of RFC 7950</w:t>
      </w:r>
      <w:r>
        <w:rPr>
          <w:i/>
          <w:iCs/>
        </w:rPr>
        <w:t xml:space="preserve"> </w:t>
      </w:r>
      <w:hyperlink w:anchor="_9aa1375053d51ce8fa8cdf71cde3bc0571671c1">
        <w:r>
          <w:rPr>
            <w:rStyle w:val="Hyperlink"/>
            <w:i/>
            <w:iCs/>
          </w:rPr>
          <w:t xml:space="preserve">[4]</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p>
      <w:pPr>
        <w:pStyle w:val="Heading3"/>
      </w:pPr>
      <w:bookmarkStart w:id="59" w:name="_26e4bea6f8252c4978c4fb88ca5cd5227ac4d25"/>
      <w:r>
        <w:t xml:space="preserve">IETF-5: Quoting</w:t>
      </w:r>
      <w:bookmarkEnd w:id="59"/>
    </w:p>
    <w:p>
      <w:pPr>
        <w:pStyle w:val="FirstParagraph"/>
      </w:pPr>
      <w:r>
        <w:rPr>
          <w:i/>
          <w:iCs/>
        </w:rPr>
        <w:t xml:space="preserve">This guideline is an extension to section</w:t>
      </w:r>
      <w:r>
        <w:rPr>
          <w:i/>
          <w:iCs/>
        </w:rPr>
        <w:t xml:space="preserve"> </w:t>
      </w:r>
      <w:hyperlink r:id="rId60">
        <w:r>
          <w:rPr>
            <w:rStyle w:val="Hyperlink"/>
            <w:i/>
            <w:iCs/>
          </w:rPr>
          <w:t xml:space="preserve">6.1.3</w:t>
        </w:r>
      </w:hyperlink>
      <w:r>
        <w:rPr>
          <w:i/>
          <w:iCs/>
        </w:rPr>
        <w:t xml:space="preserve"> </w:t>
      </w:r>
      <w:r>
        <w:rPr>
          <w:i/>
          <w:iCs/>
        </w:rPr>
        <w:t xml:space="preserve">of RFC 7950</w:t>
      </w:r>
      <w:r>
        <w:rPr>
          <w:i/>
          <w:iCs/>
        </w:rPr>
        <w:t xml:space="preserve"> </w:t>
      </w:r>
      <w:hyperlink w:anchor="_9aa1375053d51ce8fa8cdf71cde3bc0571671c1">
        <w:r>
          <w:rPr>
            <w:rStyle w:val="Hyperlink"/>
            <w:i/>
            <w:iCs/>
          </w:rPr>
          <w:t xml:space="preserve">[4]</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p>
      <w:pPr>
        <w:pStyle w:val="Heading3"/>
      </w:pPr>
      <w:bookmarkStart w:id="61" w:name="_b37ac39e0dec648be19fdc71e663193d9624708"/>
      <w:r>
        <w:t xml:space="preserve">IETF-6: Module Naming Conventions</w:t>
      </w:r>
      <w:bookmarkEnd w:id="61"/>
    </w:p>
    <w:p>
      <w:pPr>
        <w:pStyle w:val="FirstParagraph"/>
      </w:pPr>
      <w:r>
        <w:rPr>
          <w:i/>
          <w:iCs/>
        </w:rPr>
        <w:t xml:space="preserve">This guideline overrides section</w:t>
      </w:r>
      <w:r>
        <w:rPr>
          <w:i/>
          <w:iCs/>
        </w:rPr>
        <w:t xml:space="preserve"> </w:t>
      </w:r>
      <w:hyperlink r:id="rId62">
        <w:r>
          <w:rPr>
            <w:rStyle w:val="Hyperlink"/>
            <w:i/>
            <w:iCs/>
          </w:rPr>
          <w:t xml:space="preserve">4.1</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p>
      <w:pPr>
        <w:pStyle w:val="Heading3"/>
      </w:pPr>
      <w:bookmarkStart w:id="63" w:name="_6b1d9f9c38419ad118636afcc437f3f8656b382"/>
      <w:r>
        <w:t xml:space="preserve">IETF-7: Module Header, Meta and Revision Statements</w:t>
      </w:r>
      <w:bookmarkEnd w:id="63"/>
    </w:p>
    <w:p>
      <w:pPr>
        <w:pStyle w:val="FirstParagraph"/>
      </w:pPr>
      <w:r>
        <w:rPr>
          <w:i/>
          <w:iCs/>
        </w:rPr>
        <w:t xml:space="preserve">These guidelines override section</w:t>
      </w:r>
      <w:r>
        <w:rPr>
          <w:i/>
          <w:iCs/>
        </w:rPr>
        <w:t xml:space="preserve"> </w:t>
      </w:r>
      <w:hyperlink r:id="rId64">
        <w:r>
          <w:rPr>
            <w:rStyle w:val="Hyperlink"/>
            <w:i/>
            <w:iCs/>
          </w:rPr>
          <w:t xml:space="preserve">4.8</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Heading4"/>
      </w:pPr>
      <w:bookmarkStart w:id="65" w:name="_8423fb6d49f828feb050ae13fc3b3dded02076d"/>
      <w:r>
        <w:t xml:space="preserve">namespace</w:t>
      </w:r>
      <w:bookmarkEnd w:id="65"/>
    </w:p>
    <w:p>
      <w:pPr>
        <w:pStyle w:val="FirstParagraph"/>
      </w:pPr>
      <w:r>
        <w:t xml:space="preserve">See IETF-9.</w:t>
      </w:r>
    </w:p>
    <w:p>
      <w:pPr>
        <w:pStyle w:val="Heading4"/>
      </w:pPr>
      <w:bookmarkStart w:id="66" w:name="_b7c7a3c6a90c60f025168cdebc589109b887b24"/>
      <w:r>
        <w:t xml:space="preserve">organization</w:t>
      </w:r>
      <w:bookmarkEnd w:id="66"/>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p>
      <w:pPr>
        <w:pStyle w:val="Heading4"/>
      </w:pPr>
      <w:bookmarkStart w:id="67" w:name="_279c74bcf58d78f98fea33b073941925a717fc3"/>
      <w:r>
        <w:t xml:space="preserve">contact</w:t>
      </w:r>
      <w:bookmarkEnd w:id="67"/>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&lt;mailto:info@broadband-forum.org&gt;.</w:t>
      </w:r>
    </w:p>
    <w:p>
      <w:pPr>
        <w:pStyle w:val="FirstParagraph"/>
      </w:pPr>
      <w:r>
        <w:t xml:space="preserve">Followed by:</w:t>
      </w:r>
    </w:p>
    <w:p>
      <w:pPr>
        <w:pStyle w:val="Compact"/>
        <w:numPr>
          <w:ilvl w:val="0"/>
          <w:numId w:val="1014"/>
        </w:numPr>
      </w:pPr>
      <w:r>
        <w:t xml:space="preserve">Editor name(s) and affiliation(s)</w:t>
      </w:r>
    </w:p>
    <w:p>
      <w:pPr>
        <w:pStyle w:val="Compact"/>
        <w:numPr>
          <w:ilvl w:val="0"/>
          <w:numId w:val="1014"/>
        </w:numPr>
      </w:pPr>
      <w:r>
        <w:t xml:space="preserve">Project Stream Leader name(s) and affiliation(s) - omit if no Project Stream Leader</w:t>
      </w:r>
    </w:p>
    <w:p>
      <w:pPr>
        <w:pStyle w:val="Compact"/>
        <w:numPr>
          <w:ilvl w:val="0"/>
          <w:numId w:val="1014"/>
        </w:numPr>
      </w:pPr>
      <w:r>
        <w:t xml:space="preserve">Work Area Director name(s) and affiliation(s)</w:t>
      </w:r>
    </w:p>
    <w:p>
      <w:pPr>
        <w:pStyle w:val="SourceCode"/>
      </w:pPr>
      <w:r>
        <w:rPr>
          <w:rStyle w:val="VerbatimChar"/>
        </w:rPr>
        <w:t xml:space="preserve">  Editor:      &lt;name&gt;, &lt;company&gt;</w:t>
      </w:r>
      <w:r>
        <w:br/>
      </w:r>
      <w:r>
        <w:br/>
      </w:r>
      <w:r>
        <w:rPr>
          <w:rStyle w:val="VerbatimChar"/>
        </w:rPr>
        <w:t xml:space="preserve">  Editor:      &lt;name&gt;, &lt;company&gt;</w:t>
      </w:r>
      <w:r>
        <w:br/>
      </w:r>
      <w:r>
        <w:br/>
      </w:r>
      <w:r>
        <w:rPr>
          <w:rStyle w:val="VerbatimChar"/>
        </w:rPr>
        <w:t xml:space="preserve">  PS Leader:   &lt;name&gt;, &lt;company&gt;</w:t>
      </w:r>
      <w:r>
        <w:br/>
      </w:r>
      <w:r>
        <w:br/>
      </w:r>
      <w:r>
        <w:rPr>
          <w:rStyle w:val="VerbatimChar"/>
        </w:rPr>
        <w:t xml:space="preserve">  PS Leader:   &lt;name&gt;, &lt;company&gt;</w:t>
      </w:r>
      <w:r>
        <w:br/>
      </w:r>
      <w:r>
        <w:br/>
      </w:r>
      <w:r>
        <w:rPr>
          <w:rStyle w:val="VerbatimChar"/>
        </w:rPr>
        <w:t xml:space="preserve">  WA Director: &lt;name&gt;, &lt;company&gt;</w:t>
      </w:r>
      <w:r>
        <w:br/>
      </w:r>
      <w:r>
        <w:br/>
      </w:r>
      <w:r>
        <w:rPr>
          <w:rStyle w:val="VerbatimChar"/>
        </w:rPr>
        <w:t xml:space="preserve">  WA Director: &lt;name&gt;, &lt;company&gt;</w:t>
      </w:r>
    </w:p>
    <w:p>
      <w:pPr>
        <w:pStyle w:val="Heading4"/>
      </w:pPr>
      <w:bookmarkStart w:id="68" w:name="_199e587f0c52df21f8b0a367cd8b9817b48761a"/>
      <w:r>
        <w:t xml:space="preserve">description</w:t>
      </w:r>
      <w:bookmarkEnd w:id="68"/>
    </w:p>
    <w:p>
      <w:pPr>
        <w:pStyle w:val="FirstParagraph"/>
      </w:pPr>
      <w:r>
        <w:t xml:space="preserve">See IETF-8.</w:t>
      </w:r>
    </w:p>
    <w:p>
      <w:pPr>
        <w:pStyle w:val="Heading4"/>
      </w:pPr>
      <w:bookmarkStart w:id="69" w:name="_47e9b6eeff93f0577b4a64294d25fdf8bb38eac"/>
      <w:r>
        <w:t xml:space="preserve">revision</w:t>
      </w:r>
      <w:bookmarkEnd w:id="69"/>
    </w:p>
    <w:p>
      <w:pPr>
        <w:pStyle w:val="FirstParagraph"/>
      </w:pPr>
      <w:r>
        <w:t xml:space="preserve">The guidelines from RFC 8407 apply with the following modifications:</w:t>
      </w:r>
    </w:p>
    <w:p>
      <w:pPr>
        <w:pStyle w:val="Compact"/>
        <w:numPr>
          <w:ilvl w:val="0"/>
          <w:numId w:val="1015"/>
        </w:numPr>
      </w:pPr>
      <w:r>
        <w:t xml:space="preserve">The guidelines relating to the reference substatement are replaced with a guideline to reference the associated TR Issue, Amendment (if any) and Corrigendum.</w:t>
      </w:r>
    </w:p>
    <w:p>
      <w:pPr>
        <w:pStyle w:val="Compact"/>
        <w:numPr>
          <w:ilvl w:val="0"/>
          <w:numId w:val="1015"/>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p>
      <w:pPr>
        <w:pStyle w:val="Heading3"/>
      </w:pPr>
      <w:bookmarkStart w:id="70" w:name="_08b3505cb90c3b604f08700e4b6751d9d44e4a3"/>
      <w:r>
        <w:t xml:space="preserve">IETF-8: Module Header, Meta and Revision Statements - Top Level Description</w:t>
      </w:r>
      <w:bookmarkEnd w:id="70"/>
    </w:p>
    <w:p>
      <w:pPr>
        <w:pStyle w:val="FirstParagraph"/>
      </w:pPr>
      <w:r>
        <w:rPr>
          <w:i/>
          <w:iCs/>
        </w:rPr>
        <w:t xml:space="preserve">This guideline overrides section</w:t>
      </w:r>
      <w:r>
        <w:rPr>
          <w:i/>
          <w:iCs/>
        </w:rPr>
        <w:t xml:space="preserve"> </w:t>
      </w:r>
      <w:hyperlink r:id="rId64">
        <w:r>
          <w:rPr>
            <w:rStyle w:val="Hyperlink"/>
            <w:i/>
            <w:iCs/>
          </w:rPr>
          <w:t xml:space="preserve">4.8</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The top-level description MUST contain the following:</w:t>
      </w:r>
    </w:p>
    <w:p>
      <w:pPr>
        <w:pStyle w:val="Compact"/>
        <w:numPr>
          <w:ilvl w:val="0"/>
          <w:numId w:val="1016"/>
        </w:numPr>
      </w:pPr>
      <w:r>
        <w:t xml:space="preserve">Summary</w:t>
      </w:r>
    </w:p>
    <w:p>
      <w:pPr>
        <w:pStyle w:val="Compact"/>
        <w:numPr>
          <w:ilvl w:val="0"/>
          <w:numId w:val="1016"/>
        </w:numPr>
      </w:pPr>
      <w:r>
        <w:t xml:space="preserve">BBF Notice Section</w:t>
      </w:r>
    </w:p>
    <w:p>
      <w:pPr>
        <w:pStyle w:val="Heading3"/>
      </w:pPr>
      <w:bookmarkStart w:id="71" w:name="_e11e0cea20c5a00ee102445b8fb1bc689ff04f9"/>
      <w:r>
        <w:t xml:space="preserve">IETF-9: Namespace Assignments</w:t>
      </w:r>
      <w:bookmarkEnd w:id="71"/>
    </w:p>
    <w:p>
      <w:pPr>
        <w:pStyle w:val="FirstParagraph"/>
      </w:pPr>
      <w:r>
        <w:rPr>
          <w:i/>
          <w:iCs/>
        </w:rPr>
        <w:t xml:space="preserve">This guideline overrides section</w:t>
      </w:r>
      <w:r>
        <w:rPr>
          <w:i/>
          <w:iCs/>
        </w:rPr>
        <w:t xml:space="preserve"> </w:t>
      </w:r>
      <w:hyperlink r:id="rId72">
        <w:r>
          <w:rPr>
            <w:rStyle w:val="Hyperlink"/>
            <w:i/>
            <w:iCs/>
          </w:rPr>
          <w:t xml:space="preserve">4.9</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p>
      <w:pPr>
        <w:pStyle w:val="Heading3"/>
      </w:pPr>
      <w:bookmarkStart w:id="73" w:name="_b61dc949e4b94030c65e012501fe8a1f55d84b5"/>
      <w:r>
        <w:t xml:space="preserve">IETF-10: Prefixes - Imported Modules</w:t>
      </w:r>
      <w:bookmarkEnd w:id="73"/>
    </w:p>
    <w:p>
      <w:pPr>
        <w:pStyle w:val="FirstParagraph"/>
      </w:pPr>
      <w:r>
        <w:rPr>
          <w:i/>
          <w:iCs/>
        </w:rPr>
        <w:t xml:space="preserve">This guideline extends section</w:t>
      </w:r>
      <w:r>
        <w:rPr>
          <w:i/>
          <w:iCs/>
        </w:rPr>
        <w:t xml:space="preserve"> </w:t>
      </w:r>
      <w:hyperlink r:id="rId74">
        <w:r>
          <w:rPr>
            <w:rStyle w:val="Hyperlink"/>
            <w:i/>
            <w:iCs/>
          </w:rPr>
          <w:t xml:space="preserve">4.2</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p>
      <w:pPr>
        <w:pStyle w:val="Heading3"/>
      </w:pPr>
      <w:bookmarkStart w:id="75" w:name="_c288c7b6eaec8219e6b694be9aac7ed199098ca"/>
      <w:r>
        <w:t xml:space="preserve">IETF-11: Prefixes - Usage</w:t>
      </w:r>
      <w:bookmarkEnd w:id="75"/>
    </w:p>
    <w:p>
      <w:pPr>
        <w:pStyle w:val="FirstParagraph"/>
      </w:pPr>
      <w:r>
        <w:rPr>
          <w:i/>
          <w:iCs/>
        </w:rPr>
        <w:t xml:space="preserve">These guidelines restate section</w:t>
      </w:r>
      <w:r>
        <w:rPr>
          <w:i/>
          <w:iCs/>
        </w:rPr>
        <w:t xml:space="preserve"> </w:t>
      </w:r>
      <w:hyperlink r:id="rId74">
        <w:r>
          <w:rPr>
            <w:rStyle w:val="Hyperlink"/>
            <w:i/>
            <w:iCs/>
          </w:rPr>
          <w:t xml:space="preserve">4.2</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The following apply to prefix usage of the local module:</w:t>
      </w:r>
    </w:p>
    <w:p>
      <w:pPr>
        <w:pStyle w:val="Compact"/>
        <w:numPr>
          <w:ilvl w:val="0"/>
          <w:numId w:val="1017"/>
        </w:numPr>
      </w:pPr>
      <w:r>
        <w:t xml:space="preserve">The local module prefix SHOULD be used instead of no prefix in all path expressions where the prefix is optional per section</w:t>
      </w:r>
      <w:r>
        <w:t xml:space="preserve"> </w:t>
      </w:r>
      <w:hyperlink r:id="rId76">
        <w:r>
          <w:rPr>
            <w:rStyle w:val="Hyperlink"/>
          </w:rPr>
          <w:t xml:space="preserve">5.1</w:t>
        </w:r>
      </w:hyperlink>
      <w:r>
        <w:t xml:space="preserve"> </w:t>
      </w:r>
      <w:r>
        <w:t xml:space="preserve">of RFC 7950</w:t>
      </w:r>
      <w:r>
        <w:t xml:space="preserve"> </w:t>
      </w:r>
      <w:hyperlink w:anchor="_9aa1375053d51ce8fa8cdf71cde3bc0571671c1">
        <w:r>
          <w:rPr>
            <w:rStyle w:val="Hyperlink"/>
          </w:rPr>
          <w:t xml:space="preserve">[4]</w:t>
        </w:r>
      </w:hyperlink>
      <w:r>
        <w:t xml:space="preserve">.</w:t>
      </w:r>
    </w:p>
    <w:p>
      <w:pPr>
        <w:pStyle w:val="Compact"/>
        <w:numPr>
          <w:ilvl w:val="0"/>
          <w:numId w:val="1017"/>
        </w:numPr>
      </w:pPr>
      <w:r>
        <w:t xml:space="preserve">The local module prefix MUST be used instead of no prefix in all default statements for an identityref or instance-identifier data type.</w:t>
      </w:r>
    </w:p>
    <w:p>
      <w:pPr>
        <w:pStyle w:val="Compact"/>
        <w:numPr>
          <w:ilvl w:val="0"/>
          <w:numId w:val="1017"/>
        </w:numPr>
      </w:pPr>
      <w:r>
        <w:t xml:space="preserve">The local module prefix MAY be used for references to typedefs, groupings, extensions, features and identities defined in the module.</w:t>
      </w:r>
    </w:p>
    <w:p>
      <w:pPr>
        <w:pStyle w:val="Heading3"/>
      </w:pPr>
      <w:bookmarkStart w:id="77" w:name="_80044f5d3c8e8feac203f759e305a26d3483c81"/>
      <w:r>
        <w:t xml:space="preserve">IETF-12: Identifier Naming Conventions</w:t>
      </w:r>
      <w:bookmarkEnd w:id="77"/>
    </w:p>
    <w:p>
      <w:pPr>
        <w:pStyle w:val="FirstParagraph"/>
      </w:pPr>
      <w:r>
        <w:rPr>
          <w:i/>
          <w:iCs/>
        </w:rPr>
        <w:t xml:space="preserve">The following extends section</w:t>
      </w:r>
      <w:r>
        <w:rPr>
          <w:i/>
          <w:iCs/>
        </w:rPr>
        <w:t xml:space="preserve"> </w:t>
      </w:r>
      <w:hyperlink r:id="rId78">
        <w:r>
          <w:rPr>
            <w:rStyle w:val="Hyperlink"/>
            <w:i/>
            <w:iCs/>
          </w:rPr>
          <w:t xml:space="preserve">4.3.1</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18"/>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18"/>
        </w:numPr>
      </w:pPr>
      <w:r>
        <w:t xml:space="preserve">Identifiers SHOULD include complete words and/or well-known acronyms or abbreviations. There are some exceptions to this for performance reasons. See BBF-5 for further guidelines.</w:t>
      </w:r>
    </w:p>
    <w:p>
      <w:pPr>
        <w:pStyle w:val="Heading3"/>
      </w:pPr>
      <w:bookmarkStart w:id="79" w:name="_5fd63118332bd1533c4b3f4f34353d75870a0a2"/>
      <w:r>
        <w:t xml:space="preserve">IETF-13: Conditional Statements</w:t>
      </w:r>
      <w:bookmarkEnd w:id="79"/>
    </w:p>
    <w:p>
      <w:pPr>
        <w:pStyle w:val="FirstParagraph"/>
      </w:pPr>
      <w:r>
        <w:rPr>
          <w:i/>
          <w:iCs/>
        </w:rPr>
        <w:t xml:space="preserve">The following reiterates section</w:t>
      </w:r>
      <w:r>
        <w:rPr>
          <w:i/>
          <w:iCs/>
        </w:rPr>
        <w:t xml:space="preserve"> </w:t>
      </w:r>
      <w:hyperlink r:id="rId80">
        <w:r>
          <w:rPr>
            <w:rStyle w:val="Hyperlink"/>
            <w:i/>
            <w:iCs/>
          </w:rPr>
          <w:t xml:space="preserve">4.5</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p>
      <w:pPr>
        <w:pStyle w:val="Heading3"/>
      </w:pPr>
      <w:bookmarkStart w:id="81" w:name="_7c516396929950e7009e7b01428c60f37f5e66f"/>
      <w:r>
        <w:t xml:space="preserve">IETF-14: Conditional Augment Statements</w:t>
      </w:r>
      <w:bookmarkEnd w:id="81"/>
    </w:p>
    <w:p>
      <w:pPr>
        <w:pStyle w:val="FirstParagraph"/>
      </w:pPr>
      <w:r>
        <w:rPr>
          <w:i/>
          <w:iCs/>
        </w:rPr>
        <w:t xml:space="preserve">The following reiterates section</w:t>
      </w:r>
      <w:r>
        <w:rPr>
          <w:i/>
          <w:iCs/>
        </w:rPr>
        <w:t xml:space="preserve"> </w:t>
      </w:r>
      <w:hyperlink r:id="rId82">
        <w:r>
          <w:rPr>
            <w:rStyle w:val="Hyperlink"/>
            <w:i/>
            <w:iCs/>
          </w:rPr>
          <w:t xml:space="preserve">4.19.1</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p>
      <w:pPr>
        <w:pStyle w:val="Heading3"/>
      </w:pPr>
      <w:bookmarkStart w:id="83" w:name="_d2cf503170de8fa411d07213b3f484e448ff459"/>
      <w:r>
        <w:t xml:space="preserve">IETF-15: Import or Include By Revision</w:t>
      </w:r>
      <w:bookmarkEnd w:id="83"/>
    </w:p>
    <w:p>
      <w:pPr>
        <w:pStyle w:val="FirstParagraph"/>
      </w:pPr>
      <w:r>
        <w:rPr>
          <w:i/>
          <w:iCs/>
        </w:rPr>
        <w:t xml:space="preserve">The following replaces statements in section</w:t>
      </w:r>
      <w:r>
        <w:rPr>
          <w:i/>
          <w:iCs/>
        </w:rPr>
        <w:t xml:space="preserve"> </w:t>
      </w:r>
      <w:hyperlink r:id="rId84">
        <w:r>
          <w:rPr>
            <w:rStyle w:val="Hyperlink"/>
            <w:i/>
            <w:iCs/>
          </w:rPr>
          <w:t xml:space="preserve">4.7</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p>
      <w:pPr>
        <w:pStyle w:val="Heading3"/>
      </w:pPr>
      <w:bookmarkStart w:id="85" w:name="_780f7a06219eafeb084776145b6d63da678cf9a"/>
      <w:r>
        <w:t xml:space="preserve">IETF-16: Legal Characters in YANG Modules</w:t>
      </w:r>
      <w:bookmarkEnd w:id="85"/>
    </w:p>
    <w:p>
      <w:pPr>
        <w:pStyle w:val="FirstParagraph"/>
      </w:pPr>
      <w:r>
        <w:rPr>
          <w:i/>
          <w:iCs/>
        </w:rPr>
        <w:t xml:space="preserve">The following replaces portions of section</w:t>
      </w:r>
      <w:r>
        <w:rPr>
          <w:i/>
          <w:iCs/>
        </w:rPr>
        <w:t xml:space="preserve"> </w:t>
      </w:r>
      <w:hyperlink r:id="rId86">
        <w:r>
          <w:rPr>
            <w:rStyle w:val="Hyperlink"/>
            <w:i/>
            <w:iCs/>
          </w:rPr>
          <w:t xml:space="preserve">6</w:t>
        </w:r>
      </w:hyperlink>
      <w:r>
        <w:rPr>
          <w:i/>
          <w:iCs/>
        </w:rPr>
        <w:t xml:space="preserve"> </w:t>
      </w:r>
      <w:r>
        <w:rPr>
          <w:i/>
          <w:iCs/>
        </w:rPr>
        <w:t xml:space="preserve">of RFC 7950</w:t>
      </w:r>
      <w:r>
        <w:rPr>
          <w:i/>
          <w:iCs/>
        </w:rPr>
        <w:t xml:space="preserve"> </w:t>
      </w:r>
      <w:hyperlink w:anchor="_9aa1375053d51ce8fa8cdf71cde3bc0571671c1">
        <w:r>
          <w:rPr>
            <w:rStyle w:val="Hyperlink"/>
            <w:i/>
            <w:iCs/>
          </w:rPr>
          <w:t xml:space="preserve">[4]</w:t>
        </w:r>
      </w:hyperlink>
      <w:r>
        <w:rPr>
          <w:i/>
          <w:iCs/>
        </w:rPr>
        <w:t xml:space="preserve">.</w:t>
      </w:r>
    </w:p>
    <w:p>
      <w:pPr>
        <w:pStyle w:val="BodyText"/>
      </w:pPr>
      <w:r>
        <w:t xml:space="preserve">BBF YANG modules MUST be written using only printable ASCII characters.</w:t>
      </w:r>
    </w:p>
    <w:p>
      <w:pPr>
        <w:pStyle w:val="Heading3"/>
      </w:pPr>
      <w:bookmarkStart w:id="87" w:name="_7c19e059167da67820f4fb7766b40deca1bc898"/>
      <w:r>
        <w:t xml:space="preserve">IETF-17: Prefix on</w:t>
      </w:r>
      <w:r>
        <w:t xml:space="preserve"> </w:t>
      </w:r>
      <w:r>
        <w:t xml:space="preserve">“belongs-to”</w:t>
      </w:r>
      <w:r>
        <w:t xml:space="preserve"> </w:t>
      </w:r>
      <w:r>
        <w:t xml:space="preserve">Statements</w:t>
      </w:r>
      <w:bookmarkEnd w:id="87"/>
    </w:p>
    <w:p>
      <w:pPr>
        <w:pStyle w:val="FirstParagraph"/>
      </w:pPr>
      <w:r>
        <w:rPr>
          <w:i/>
          <w:iCs/>
        </w:rPr>
        <w:t xml:space="preserve">The following extends section</w:t>
      </w:r>
      <w:r>
        <w:rPr>
          <w:i/>
          <w:iCs/>
        </w:rPr>
        <w:t xml:space="preserve"> </w:t>
      </w:r>
      <w:hyperlink r:id="rId74">
        <w:r>
          <w:rPr>
            <w:rStyle w:val="Hyperlink"/>
            <w:i/>
            <w:iCs/>
          </w:rPr>
          <w:t xml:space="preserve">4.2</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p>
      <w:pPr>
        <w:pStyle w:val="Heading3"/>
      </w:pPr>
      <w:bookmarkStart w:id="88" w:name="_cbd829666661b195829cbb3bb38c2991255df6e"/>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bookmarkEnd w:id="88"/>
    </w:p>
    <w:p>
      <w:pPr>
        <w:pStyle w:val="FirstParagraph"/>
      </w:pPr>
      <w:r>
        <w:rPr>
          <w:i/>
          <w:iCs/>
        </w:rPr>
        <w:t xml:space="preserve">This guideline overrides section</w:t>
      </w:r>
      <w:r>
        <w:rPr>
          <w:i/>
          <w:iCs/>
        </w:rPr>
        <w:t xml:space="preserve"> </w:t>
      </w:r>
      <w:hyperlink r:id="rId89">
        <w:r>
          <w:rPr>
            <w:rStyle w:val="Hyperlink"/>
            <w:i/>
            <w:iCs/>
          </w:rPr>
          <w:t xml:space="preserve">7.5.4.1</w:t>
        </w:r>
      </w:hyperlink>
      <w:r>
        <w:rPr>
          <w:i/>
          <w:iCs/>
        </w:rPr>
        <w:t xml:space="preserve"> </w:t>
      </w:r>
      <w:r>
        <w:rPr>
          <w:i/>
          <w:iCs/>
        </w:rPr>
        <w:t xml:space="preserve">of RFC 7950</w:t>
      </w:r>
      <w:r>
        <w:rPr>
          <w:i/>
          <w:iCs/>
        </w:rPr>
        <w:t xml:space="preserve"> </w:t>
      </w:r>
      <w:hyperlink w:anchor="_9aa1375053d51ce8fa8cdf71cde3bc0571671c1">
        <w:r>
          <w:rPr>
            <w:rStyle w:val="Hyperlink"/>
            <w:i/>
            <w:iCs/>
          </w:rPr>
          <w:t xml:space="preserve">[4]</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p>
      <w:pPr>
        <w:pStyle w:val="Heading3"/>
      </w:pPr>
      <w:bookmarkStart w:id="90" w:name="_80921fc05d606ee502d97a8f594d3fc1e4af16c"/>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bookmarkEnd w:id="90"/>
    </w:p>
    <w:p>
      <w:pPr>
        <w:pStyle w:val="FirstParagraph"/>
      </w:pPr>
      <w:r>
        <w:rPr>
          <w:i/>
          <w:iCs/>
        </w:rPr>
        <w:t xml:space="preserve">This guideline overrides section</w:t>
      </w:r>
      <w:r>
        <w:rPr>
          <w:i/>
          <w:iCs/>
        </w:rPr>
        <w:t xml:space="preserve"> </w:t>
      </w:r>
      <w:hyperlink r:id="rId91">
        <w:r>
          <w:rPr>
            <w:rStyle w:val="Hyperlink"/>
            <w:i/>
            <w:iCs/>
          </w:rPr>
          <w:t xml:space="preserve">7.5.4</w:t>
        </w:r>
      </w:hyperlink>
      <w:r>
        <w:rPr>
          <w:i/>
          <w:iCs/>
        </w:rPr>
        <w:t xml:space="preserve"> </w:t>
      </w:r>
      <w:r>
        <w:rPr>
          <w:i/>
          <w:iCs/>
        </w:rPr>
        <w:t xml:space="preserve">of RFC 7950</w:t>
      </w:r>
      <w:r>
        <w:rPr>
          <w:i/>
          <w:iCs/>
        </w:rPr>
        <w:t xml:space="preserve"> </w:t>
      </w:r>
      <w:hyperlink w:anchor="_9aa1375053d51ce8fa8cdf71cde3bc0571671c1">
        <w:r>
          <w:rPr>
            <w:rStyle w:val="Hyperlink"/>
            <w:i/>
            <w:iCs/>
          </w:rPr>
          <w:t xml:space="preserve">[4]</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p>
      <w:pPr>
        <w:pStyle w:val="Heading3"/>
      </w:pPr>
      <w:bookmarkStart w:id="92" w:name="_a307ff9afa5b5ce6d68a8d31ef4ad3967443932"/>
      <w:r>
        <w:t xml:space="preserve">IETF-20: Tabs and Spacing</w:t>
      </w:r>
      <w:bookmarkEnd w:id="92"/>
    </w:p>
    <w:p>
      <w:pPr>
        <w:pStyle w:val="FirstParagraph"/>
      </w:pPr>
      <w:r>
        <w:rPr>
          <w:i/>
          <w:iCs/>
        </w:rPr>
        <w:t xml:space="preserve">This guideline is an extension to section</w:t>
      </w:r>
      <w:r>
        <w:rPr>
          <w:i/>
          <w:iCs/>
        </w:rPr>
        <w:t xml:space="preserve"> </w:t>
      </w:r>
      <w:hyperlink r:id="rId60">
        <w:r>
          <w:rPr>
            <w:rStyle w:val="Hyperlink"/>
            <w:i/>
            <w:iCs/>
          </w:rPr>
          <w:t xml:space="preserve">6.1.3</w:t>
        </w:r>
      </w:hyperlink>
      <w:r>
        <w:rPr>
          <w:i/>
          <w:iCs/>
        </w:rPr>
        <w:t xml:space="preserve"> </w:t>
      </w:r>
      <w:r>
        <w:rPr>
          <w:i/>
          <w:iCs/>
        </w:rPr>
        <w:t xml:space="preserve">of RFC 7950</w:t>
      </w:r>
      <w:r>
        <w:rPr>
          <w:i/>
          <w:iCs/>
        </w:rPr>
        <w:t xml:space="preserve"> </w:t>
      </w:r>
      <w:hyperlink w:anchor="_9aa1375053d51ce8fa8cdf71cde3bc0571671c1">
        <w:r>
          <w:rPr>
            <w:rStyle w:val="Hyperlink"/>
            <w:i/>
            <w:iCs/>
          </w:rPr>
          <w:t xml:space="preserve">[4]</w:t>
        </w:r>
      </w:hyperlink>
      <w:r>
        <w:rPr>
          <w:i/>
          <w:iCs/>
        </w:rPr>
        <w:t xml:space="preserve">.</w:t>
      </w:r>
    </w:p>
    <w:p>
      <w:pPr>
        <w:pStyle w:val="BodyText"/>
      </w:pPr>
      <w:r>
        <w:t xml:space="preserve">BBF YANG modules MUST NOT contain any tab characters and MUST use 2 space characters for indentation.</w:t>
      </w:r>
    </w:p>
    <w:p>
      <w:pPr>
        <w:pStyle w:val="Heading3"/>
      </w:pPr>
      <w:bookmarkStart w:id="93" w:name="_e6a333d15e9375ca8df3a7818e4907b118520da"/>
      <w:r>
        <w:t xml:space="preserve">IETF-21: Normative Language</w:t>
      </w:r>
      <w:bookmarkEnd w:id="93"/>
    </w:p>
    <w:p>
      <w:pPr>
        <w:pStyle w:val="FirstParagraph"/>
      </w:pPr>
      <w:r>
        <w:rPr>
          <w:i/>
          <w:iCs/>
        </w:rPr>
        <w:t xml:space="preserve">This guideline clarifies section</w:t>
      </w:r>
      <w:r>
        <w:rPr>
          <w:i/>
          <w:iCs/>
        </w:rPr>
        <w:t xml:space="preserve"> </w:t>
      </w:r>
      <w:hyperlink r:id="rId94">
        <w:r>
          <w:rPr>
            <w:rStyle w:val="Hyperlink"/>
            <w:i/>
            <w:iCs/>
          </w:rPr>
          <w:t xml:space="preserve">3.6</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BBF YANG modules SHALL NOT use normative keywords in their description statements as defined in RFC 2119</w:t>
      </w:r>
      <w:r>
        <w:t xml:space="preserve"> </w:t>
      </w:r>
      <w:hyperlink w:anchor="_6c4b3b0cc44b9f22320d733ea58300db69e066a">
        <w:r>
          <w:rPr>
            <w:rStyle w:val="Hyperlink"/>
          </w:rPr>
          <w:t xml:space="preserve">[2]</w:t>
        </w:r>
      </w:hyperlink>
      <w:r>
        <w:t xml:space="preserve"> </w:t>
      </w:r>
      <w:r>
        <w:t xml:space="preserve">and clarified in RFC 8174</w:t>
      </w:r>
      <w:r>
        <w:t xml:space="preserve"> </w:t>
      </w:r>
      <w:hyperlink w:anchor="_943b97c665eaf72ff6d393a545d612758cbcb3a">
        <w:r>
          <w:rPr>
            <w:rStyle w:val="Hyperlink"/>
          </w:rPr>
          <w:t xml:space="preserve">[5]</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p>
      <w:pPr>
        <w:pStyle w:val="Heading3"/>
      </w:pPr>
      <w:bookmarkStart w:id="95" w:name="_d839f6baaa49978eb0da7f863295182e163b00e"/>
      <w:r>
        <w:t xml:space="preserve">IETF-22:</w:t>
      </w:r>
      <w:r>
        <w:t xml:space="preserve"> </w:t>
      </w:r>
      <w:r>
        <w:t xml:space="preserve">‘leafref’</w:t>
      </w:r>
      <w:r>
        <w:t xml:space="preserve"> </w:t>
      </w:r>
      <w:r>
        <w:t xml:space="preserve">path in a</w:t>
      </w:r>
      <w:r>
        <w:t xml:space="preserve"> </w:t>
      </w:r>
      <w:r>
        <w:t xml:space="preserve">‘grouping’</w:t>
      </w:r>
      <w:bookmarkEnd w:id="95"/>
    </w:p>
    <w:p>
      <w:pPr>
        <w:pStyle w:val="FirstParagraph"/>
      </w:pPr>
      <w:r>
        <w:rPr>
          <w:i/>
          <w:iCs/>
        </w:rPr>
        <w:t xml:space="preserve">The following extends section</w:t>
      </w:r>
      <w:r>
        <w:rPr>
          <w:i/>
          <w:iCs/>
        </w:rPr>
        <w:t xml:space="preserve"> </w:t>
      </w:r>
      <w:hyperlink r:id="rId96">
        <w:r>
          <w:rPr>
            <w:rStyle w:val="Hyperlink"/>
            <w:i/>
            <w:iCs/>
          </w:rPr>
          <w:t xml:space="preserve">4.13</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Heading3"/>
      </w:pPr>
      <w:bookmarkStart w:id="97" w:name="_5543cb58a26b4dd4233126a263034d14c333066"/>
      <w:r>
        <w:t xml:space="preserve">IETF-23: Prefix Naming Conventions</w:t>
      </w:r>
      <w:bookmarkEnd w:id="97"/>
    </w:p>
    <w:p>
      <w:pPr>
        <w:pStyle w:val="FirstParagraph"/>
      </w:pPr>
      <w:r>
        <w:rPr>
          <w:i/>
          <w:iCs/>
        </w:rPr>
        <w:t xml:space="preserve">This guideline extends section</w:t>
      </w:r>
      <w:r>
        <w:rPr>
          <w:i/>
          <w:iCs/>
        </w:rPr>
        <w:t xml:space="preserve"> </w:t>
      </w:r>
      <w:hyperlink r:id="rId74">
        <w:r>
          <w:rPr>
            <w:rStyle w:val="Hyperlink"/>
            <w:i/>
            <w:iCs/>
          </w:rPr>
          <w:t xml:space="preserve">4.2</w:t>
        </w:r>
      </w:hyperlink>
      <w:r>
        <w:rPr>
          <w:i/>
          <w:iCs/>
        </w:rPr>
        <w:t xml:space="preserve"> </w:t>
      </w:r>
      <w:r>
        <w:rPr>
          <w:i/>
          <w:iCs/>
        </w:rPr>
        <w:t xml:space="preserve">of RFC 8407</w:t>
      </w:r>
      <w:r>
        <w:rPr>
          <w:i/>
          <w:iCs/>
        </w:rPr>
        <w:t xml:space="preserve"> </w:t>
      </w:r>
      <w:hyperlink w:anchor="_3ad76c0cb9b1ead647a1dff13fc24ddd70b3bb0">
        <w:r>
          <w:rPr>
            <w:rStyle w:val="Hyperlink"/>
            <w:i/>
            <w:iCs/>
          </w:rPr>
          <w:t xml:space="preserve">[6]</w:t>
        </w:r>
      </w:hyperlink>
      <w:r>
        <w:rPr>
          <w:i/>
          <w:iCs/>
        </w:rPr>
        <w:t xml:space="preserve">.</w:t>
      </w:r>
    </w:p>
    <w:p>
      <w:pPr>
        <w:pStyle w:val="BodyText"/>
      </w:pPr>
      <w:r>
        <w:t xml:space="preserve">Prefixes defined in BBF YANG Modules MUST start with</w:t>
      </w:r>
      <w:r>
        <w:t xml:space="preserve"> </w:t>
      </w:r>
      <w:r>
        <w:t xml:space="preserve">“bbf-”</w:t>
      </w:r>
      <w:r>
        <w:t xml:space="preserve">, e.g.,</w:t>
      </w:r>
      <w:r>
        <w:t xml:space="preserve"> </w:t>
      </w:r>
      <w:r>
        <w:t xml:space="preserve">“bbf-yang”</w:t>
      </w:r>
      <w:r>
        <w:t xml:space="preserve"> </w:t>
      </w:r>
      <w:r>
        <w:t xml:space="preserve">in the module bbf-yang-types.</w:t>
      </w:r>
    </w:p>
    <w:p>
      <w:pPr>
        <w:pStyle w:val="Heading2"/>
      </w:pPr>
      <w:bookmarkStart w:id="98" w:name="_e3acf4298635d407175b20c9f4a20ec747f17a3"/>
      <w:r>
        <w:t xml:space="preserve">BBF YANG Guidelines</w:t>
      </w:r>
      <w:bookmarkEnd w:id="98"/>
    </w:p>
    <w:p>
      <w:pPr>
        <w:pStyle w:val="FirstParagraph"/>
      </w:pPr>
      <w:r>
        <w:t xml:space="preserve">This section adds BBF-specific guidelines that go beyond the scope of the IETF</w:t>
      </w:r>
      <w:r>
        <w:t xml:space="preserve"> </w:t>
      </w:r>
      <w:r>
        <w:t xml:space="preserve">YANG Guidelines.</w:t>
      </w:r>
    </w:p>
    <w:p>
      <w:pPr>
        <w:pStyle w:val="Heading3"/>
      </w:pPr>
      <w:bookmarkStart w:id="99" w:name="_9ea64ebd25596fb3effe929535d7b472e00bf8b"/>
      <w:r>
        <w:t xml:space="preserve">BBF-1: Use of IANA/IETF YANG Modules</w:t>
      </w:r>
      <w:bookmarkEnd w:id="99"/>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p>
      <w:pPr>
        <w:pStyle w:val="Heading3"/>
      </w:pPr>
      <w:bookmarkStart w:id="100" w:name="_4a5293c3866b939730d6b7bff464ef3e368b7c9"/>
      <w:r>
        <w:t xml:space="preserve">BBF-2: Line Length</w:t>
      </w:r>
      <w:bookmarkEnd w:id="100"/>
    </w:p>
    <w:p>
      <w:pPr>
        <w:pStyle w:val="FirstParagraph"/>
      </w:pPr>
      <w:r>
        <w:t xml:space="preserve">The length of each line of text in a YANG module MUST not exceed 70 characters.</w:t>
      </w:r>
    </w:p>
    <w:p>
      <w:pPr>
        <w:pStyle w:val="Heading3"/>
      </w:pPr>
      <w:bookmarkStart w:id="101" w:name="_5617861ce55b119a78068f1d0579b64f74ebe73"/>
      <w:r>
        <w:t xml:space="preserve">BBF-3: Deviations</w:t>
      </w:r>
      <w:bookmarkEnd w:id="101"/>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p>
      <w:pPr>
        <w:pStyle w:val="Heading3"/>
      </w:pPr>
      <w:bookmarkStart w:id="102" w:name="_7a7c89436cc3c88a141d32f2f60c304482ac24d"/>
      <w:r>
        <w:t xml:space="preserve">BBF-4: Short Names</w:t>
      </w:r>
      <w:bookmarkEnd w:id="102"/>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p>
      <w:pPr>
        <w:pStyle w:val="Heading3"/>
      </w:pPr>
      <w:bookmarkStart w:id="103" w:name="_1a71e76912fad3a8cf4edf89b4ee4e82c8ae1cb"/>
      <w:r>
        <w:t xml:space="preserve">BBF-5: Descriptions and References</w:t>
      </w:r>
      <w:bookmarkEnd w:id="103"/>
    </w:p>
    <w:p>
      <w:pPr>
        <w:pStyle w:val="FirstParagraph"/>
      </w:pPr>
      <w:r>
        <w:t xml:space="preserve">All descriptions MUST read as sentences or sentence fragments containing proper capitalization and punctuation, e.g., ending with periods. However,</w:t>
      </w:r>
      <w:r>
        <w:t xml:space="preserve"> </w:t>
      </w:r>
      <w:hyperlink w:anchor="_c26aa4a4935e7c62609c448c2df4a73231b7f52">
        <w:r>
          <w:rPr>
            <w:rStyle w:val="Hyperlink"/>
          </w:rPr>
          <w:t xml:space="preserve">reference statements</w:t>
        </w:r>
      </w:hyperlink>
      <w:r>
        <w:t xml:space="preserve"> </w:t>
      </w:r>
      <w:r>
        <w:t xml:space="preserve">need not meet this requirement and do not need to terminate with a period.</w:t>
      </w:r>
    </w:p>
    <w:p>
      <w:pPr>
        <w:pStyle w:val="Heading3"/>
      </w:pPr>
      <w:bookmarkStart w:id="104" w:name="_c44d917991b22256a09a5f9c45a4244d6940c98"/>
      <w:r>
        <w:t xml:space="preserve">BBF-6: Special Values</w:t>
      </w:r>
      <w:bookmarkEnd w:id="104"/>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p>
      <w:pPr>
        <w:pStyle w:val="Heading3"/>
      </w:pPr>
      <w:bookmarkStart w:id="105" w:name="_bd0877fc21f18b9e0b42c79cdcd23a12ea24acb"/>
      <w:r>
        <w:t xml:space="preserve">BBF-7: Paragraph Separation in Description Statements</w:t>
      </w:r>
      <w:bookmarkEnd w:id="105"/>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br/>
      </w:r>
      <w:r>
        <w:rPr>
          <w:rStyle w:val="VerbatimChar"/>
        </w:rPr>
        <w:t xml:space="preserve">     This is the second paragraph of the description.";</w:t>
      </w:r>
    </w:p>
    <w:p>
      <w:pPr>
        <w:pStyle w:val="Heading3"/>
      </w:pPr>
      <w:bookmarkStart w:id="106" w:name="_14ce8348646aa74b044fc9125d90fc9e928ec70"/>
      <w:r>
        <w:t xml:space="preserve">BBF-8: Revision Statements</w:t>
      </w:r>
      <w:bookmarkEnd w:id="106"/>
    </w:p>
    <w:p>
      <w:pPr>
        <w:pStyle w:val="FirstParagraph"/>
      </w:pPr>
      <w:r>
        <w:t xml:space="preserve">Superseded by BBF-15.</w:t>
      </w:r>
    </w:p>
    <w:p>
      <w:pPr>
        <w:pStyle w:val="Heading3"/>
      </w:pPr>
      <w:bookmarkStart w:id="107" w:name="_db0df948887baf66e9b1cd9a008679f685e43a7"/>
      <w:r>
        <w:t xml:space="preserve">BBF-9: Explicit Modeling</w:t>
      </w:r>
      <w:bookmarkEnd w:id="107"/>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p>
      <w:pPr>
        <w:pStyle w:val="Heading3"/>
      </w:pPr>
      <w:bookmarkStart w:id="108" w:name="_c8822cf271b3ba3489c4f60b5f40bba4bb3e20d"/>
      <w:r>
        <w:t xml:space="preserve">BBF-10: Retroactive Application of OD-360 Guidelines</w:t>
      </w:r>
      <w:bookmarkEnd w:id="108"/>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p>
      <w:pPr>
        <w:pStyle w:val="Heading3"/>
      </w:pPr>
      <w:bookmarkStart w:id="109" w:name="_3bae65f223544515e0679e83ff8433e2bdc2058"/>
      <w:r>
        <w:t xml:space="preserve">BBF-11: Multi-word Identifiers</w:t>
      </w:r>
      <w:bookmarkEnd w:id="109"/>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p>
      <w:pPr>
        <w:pStyle w:val="Heading3"/>
      </w:pPr>
      <w:bookmarkStart w:id="110" w:name="_967a2fedd362844d661e2a0b6a18bc64ee49eef"/>
      <w:r>
        <w:t xml:space="preserve">BBF-12: Acronyms in Description Statements</w:t>
      </w:r>
      <w:bookmarkEnd w:id="110"/>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p>
      <w:pPr>
        <w:pStyle w:val="Heading3"/>
      </w:pPr>
      <w:bookmarkStart w:id="111" w:name="_990ed97808c690fc0c84dc0b1ccdecd491363d3"/>
      <w:r>
        <w:t xml:space="preserve">BBF-13: Abbreviations in Description Statements</w:t>
      </w:r>
      <w:bookmarkEnd w:id="111"/>
    </w:p>
    <w:p>
      <w:pPr>
        <w:pStyle w:val="FirstParagraph"/>
      </w:pPr>
      <w:r>
        <w:t xml:space="preserve">Abbreviations can be used in description statements. However, the first instance of the abbreviation in a description statement SHOULD have its meaning clearly conveyed.</w:t>
      </w:r>
    </w:p>
    <w:p>
      <w:pPr>
        <w:pStyle w:val="Heading3"/>
      </w:pPr>
      <w:bookmarkStart w:id="112" w:name="_365a74e662931a7eefdfcf499af0597b5ba63d7"/>
      <w:r>
        <w:t xml:space="preserve">BBF-14: Creating and/or Extending BBF YANG Models</w:t>
      </w:r>
      <w:bookmarkEnd w:id="112"/>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pStyle w:val="FirstParagraph"/>
        <w:numPr>
          <w:ilvl w:val="0"/>
          <w:numId w:val="1019"/>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pStyle w:val="FirstParagraph"/>
        <w:numPr>
          <w:ilvl w:val="0"/>
          <w:numId w:val="1019"/>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pStyle w:val="FirstParagraph"/>
        <w:numPr>
          <w:ilvl w:val="0"/>
          <w:numId w:val="1019"/>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pStyle w:val="FirstParagraph"/>
        <w:numPr>
          <w:ilvl w:val="1"/>
          <w:numId w:val="1020"/>
        </w:numPr>
      </w:pPr>
      <w:r>
        <w:t xml:space="preserve">First, the requirement must be formulated based on inputs brought forward to the BBF (i.e., a contribution explaining the need for the requirement).</w:t>
      </w:r>
    </w:p>
    <w:p>
      <w:pPr>
        <w:pStyle w:val="FirstParagraph"/>
        <w:numPr>
          <w:ilvl w:val="1"/>
          <w:numId w:val="1020"/>
        </w:numPr>
      </w:pPr>
      <w:r>
        <w:t xml:space="preserve">There must be consensus among the participants in the Work Area/Project Stream to move forward with this requirement.</w:t>
      </w:r>
    </w:p>
    <w:p>
      <w:pPr>
        <w:pStyle w:val="FirstParagraph"/>
        <w:numPr>
          <w:ilvl w:val="1"/>
          <w:numId w:val="1020"/>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pStyle w:val="FirstParagraph"/>
        <w:numPr>
          <w:ilvl w:val="1"/>
          <w:numId w:val="1020"/>
        </w:numPr>
      </w:pPr>
      <w:r>
        <w:t xml:space="preserve">The new requirement must not deviate from any existing requirements in BBF Technical Reports.</w:t>
      </w:r>
    </w:p>
    <w:p>
      <w:pPr>
        <w:pStyle w:val="FirstParagraph"/>
        <w:numPr>
          <w:ilvl w:val="1"/>
          <w:numId w:val="1020"/>
        </w:numPr>
      </w:pPr>
      <w:r>
        <w:t xml:space="preserve">The new requirement must be reviewed by any Work Area(s) or Project Stream(s) for which it is clearly applicable (e.g., a PON related requirement is to be reviewed by the FAN WA).</w:t>
      </w:r>
    </w:p>
    <w:p>
      <w:pPr>
        <w:pStyle w:val="Heading3"/>
      </w:pPr>
      <w:bookmarkStart w:id="113" w:name="_fd86df72343459f7f132fd88c2e94d18a11bec1"/>
      <w:r>
        <w:t xml:space="preserve">BBF-15: YANG Model Revisions and License</w:t>
      </w:r>
      <w:bookmarkEnd w:id="113"/>
    </w:p>
    <w:p>
      <w:pPr>
        <w:pStyle w:val="FirstParagraph"/>
      </w:pPr>
      <w:r>
        <w:t xml:space="preserve">BBF YANG Models are available in three possible states:</w:t>
      </w:r>
    </w:p>
    <w:p>
      <w:pPr>
        <w:pStyle w:val="Compact"/>
        <w:numPr>
          <w:ilvl w:val="0"/>
          <w:numId w:val="1021"/>
        </w:numPr>
      </w:pPr>
      <w:r>
        <w:t xml:space="preserve">Published: Models are made available to the public in GitHub and are associated with a Technical Report.</w:t>
      </w:r>
    </w:p>
    <w:p>
      <w:pPr>
        <w:pStyle w:val="Compact"/>
        <w:numPr>
          <w:ilvl w:val="0"/>
          <w:numId w:val="1021"/>
        </w:numPr>
      </w:pPr>
      <w:r>
        <w:t xml:space="preserve">Draft: Models are made available to the public in GitHub and are associated with a draft Working Text.</w:t>
      </w:r>
    </w:p>
    <w:p>
      <w:pPr>
        <w:pStyle w:val="Compact"/>
        <w:numPr>
          <w:ilvl w:val="0"/>
          <w:numId w:val="1021"/>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p>
      <w:pPr>
        <w:pStyle w:val="Heading4"/>
      </w:pPr>
      <w:bookmarkStart w:id="114" w:name="_bf6a83b498383e2f1b6f60b1f9a290a0924f71e"/>
      <w:r>
        <w:t xml:space="preserve">Published</w:t>
      </w:r>
      <w:bookmarkEnd w:id="114"/>
    </w:p>
    <w:p>
      <w:pPr>
        <w:pStyle w:val="FirstParagraph"/>
      </w:pPr>
      <w:r>
        <w:t xml:space="preserve">Each published module and submodule SHALL:</w:t>
      </w:r>
    </w:p>
    <w:p>
      <w:pPr>
        <w:pStyle w:val="Compact"/>
        <w:numPr>
          <w:ilvl w:val="0"/>
          <w:numId w:val="1022"/>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22"/>
        </w:numPr>
      </w:pPr>
      <w:r>
        <w:t xml:space="preserve">maintain all revision statements from previously published revisions.</w:t>
      </w:r>
    </w:p>
    <w:p>
      <w:pPr>
        <w:pStyle w:val="Compact"/>
        <w:numPr>
          <w:ilvl w:val="0"/>
          <w:numId w:val="1022"/>
        </w:numPr>
      </w:pPr>
      <w:r>
        <w:t xml:space="preserve">contain the standard BBF software license with correct copyright year(s).</w:t>
      </w:r>
    </w:p>
    <w:p>
      <w:pPr>
        <w:pStyle w:val="Heading4"/>
      </w:pPr>
      <w:bookmarkStart w:id="115" w:name="_991fc34a4c1a5155722d47533ec0f7b9e35fc74"/>
      <w:r>
        <w:t xml:space="preserve">Draft</w:t>
      </w:r>
      <w:bookmarkEnd w:id="115"/>
    </w:p>
    <w:p>
      <w:pPr>
        <w:pStyle w:val="FirstParagraph"/>
      </w:pPr>
      <w:r>
        <w:t xml:space="preserve">Each draft module and submodule SHALL:</w:t>
      </w:r>
    </w:p>
    <w:p>
      <w:pPr>
        <w:pStyle w:val="Compact"/>
        <w:numPr>
          <w:ilvl w:val="0"/>
          <w:numId w:val="1023"/>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23"/>
        </w:numPr>
      </w:pPr>
      <w:r>
        <w:t xml:space="preserve">maintain all revision statements from previously published revisions.</w:t>
      </w:r>
    </w:p>
    <w:p>
      <w:pPr>
        <w:pStyle w:val="Compact"/>
        <w:numPr>
          <w:ilvl w:val="0"/>
          <w:numId w:val="1023"/>
        </w:numPr>
      </w:pPr>
      <w:r>
        <w:t xml:space="preserve">contain the draft BBF software license with correct copyright year(s).</w:t>
      </w:r>
    </w:p>
    <w:p>
      <w:pPr>
        <w:pStyle w:val="Heading4"/>
      </w:pPr>
      <w:bookmarkStart w:id="116" w:name="_27088a095ca65ffedf053a04aa8b9c3bb010b8d"/>
      <w:r>
        <w:t xml:space="preserve">Development</w:t>
      </w:r>
      <w:bookmarkEnd w:id="116"/>
    </w:p>
    <w:p>
      <w:pPr>
        <w:pStyle w:val="FirstParagraph"/>
      </w:pPr>
      <w:r>
        <w:t xml:space="preserve">Each development module and submodule SHALL:</w:t>
      </w:r>
    </w:p>
    <w:p>
      <w:pPr>
        <w:pStyle w:val="Compact"/>
        <w:numPr>
          <w:ilvl w:val="0"/>
          <w:numId w:val="1024"/>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24"/>
        </w:numPr>
      </w:pPr>
      <w:r>
        <w:t xml:space="preserve">maintain all revision statements from previously published revisions.</w:t>
      </w:r>
    </w:p>
    <w:p>
      <w:pPr>
        <w:pStyle w:val="Compact"/>
        <w:numPr>
          <w:ilvl w:val="0"/>
          <w:numId w:val="1024"/>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p>
      <w:pPr>
        <w:pStyle w:val="Heading3"/>
      </w:pPr>
      <w:bookmarkStart w:id="117" w:name="_84b4cfabcb4b441b24468100ddcd523e7c4741f"/>
      <w:r>
        <w:t xml:space="preserve">BBF-16: Enum Naming</w:t>
      </w:r>
      <w:bookmarkEnd w:id="117"/>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Heading3"/>
      </w:pPr>
      <w:bookmarkStart w:id="118" w:name="_3c99dd0f9ebd140fdf429a8240fecc08008f7f7"/>
      <w:r>
        <w:t xml:space="preserve">BBF-17: Value Statements</w:t>
      </w:r>
      <w:bookmarkEnd w:id="118"/>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Heading3"/>
      </w:pPr>
      <w:bookmarkStart w:id="119" w:name="_c0a7f9e5a82313fbca8666f2d3b491f4f3b8663"/>
      <w:r>
        <w:t xml:space="preserve">BBF-18: Prefix on</w:t>
      </w:r>
      <w:r>
        <w:t xml:space="preserve"> </w:t>
      </w:r>
      <w:r>
        <w:t xml:space="preserve">‘if-feature’</w:t>
      </w:r>
      <w:r>
        <w:t xml:space="preserve"> </w:t>
      </w:r>
      <w:r>
        <w:t xml:space="preserve">Statements</w:t>
      </w:r>
      <w:bookmarkEnd w:id="119"/>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br/>
      </w:r>
      <w:r>
        <w:rPr>
          <w:rStyle w:val="VerbatimChar"/>
        </w:rPr>
        <w:t xml:space="preserve">    ...</w:t>
      </w:r>
      <w:r>
        <w:br/>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br/>
      </w:r>
      <w:r>
        <w:rPr>
          <w:rStyle w:val="VerbatimChar"/>
        </w:rPr>
        <w:t xml:space="preserve">        uses availability-parameters;</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p>
    <w:p>
      <w:pPr>
        <w:pStyle w:val="Heading3"/>
      </w:pPr>
      <w:bookmarkStart w:id="120" w:name="_cb8ec127efd0a3543271a81f49bbc6152df386b"/>
      <w:r>
        <w:t xml:space="preserve">BBF-19: Default Case of a Choice Statement - Empty Typed Leaf</w:t>
      </w:r>
      <w:bookmarkEnd w:id="120"/>
    </w:p>
    <w:p>
      <w:pPr>
        <w:pStyle w:val="FirstParagraph"/>
      </w:pPr>
      <w:r>
        <w:rPr>
          <w:i/>
          <w:iCs/>
        </w:rPr>
        <w:t xml:space="preserve">This requirement is derived from section</w:t>
      </w:r>
      <w:r>
        <w:rPr>
          <w:i/>
          <w:iCs/>
        </w:rPr>
        <w:t xml:space="preserve"> </w:t>
      </w:r>
      <w:hyperlink r:id="rId121">
        <w:r>
          <w:rPr>
            <w:rStyle w:val="Hyperlink"/>
            <w:i/>
            <w:iCs/>
          </w:rPr>
          <w:t xml:space="preserve">7.9.3</w:t>
        </w:r>
      </w:hyperlink>
      <w:r>
        <w:rPr>
          <w:i/>
          <w:iCs/>
        </w:rPr>
        <w:t xml:space="preserve"> </w:t>
      </w:r>
      <w:r>
        <w:rPr>
          <w:i/>
          <w:iCs/>
        </w:rPr>
        <w:t xml:space="preserve">and section</w:t>
      </w:r>
      <w:r>
        <w:rPr>
          <w:i/>
          <w:iCs/>
        </w:rPr>
        <w:t xml:space="preserve"> </w:t>
      </w:r>
      <w:hyperlink r:id="rId122">
        <w:r>
          <w:rPr>
            <w:rStyle w:val="Hyperlink"/>
            <w:i/>
            <w:iCs/>
          </w:rPr>
          <w:t xml:space="preserve">9.11</w:t>
        </w:r>
      </w:hyperlink>
      <w:r>
        <w:rPr>
          <w:i/>
          <w:iCs/>
        </w:rPr>
        <w:t xml:space="preserve"> </w:t>
      </w:r>
      <w:r>
        <w:rPr>
          <w:i/>
          <w:iCs/>
        </w:rPr>
        <w:t xml:space="preserve">of RFC 7950</w:t>
      </w:r>
      <w:r>
        <w:rPr>
          <w:i/>
          <w:iCs/>
        </w:rPr>
        <w:t xml:space="preserve"> </w:t>
      </w:r>
      <w:hyperlink w:anchor="_9aa1375053d51ce8fa8cdf71cde3bc0571671c1">
        <w:r>
          <w:rPr>
            <w:rStyle w:val="Hyperlink"/>
            <w:i/>
            <w:iCs/>
          </w:rPr>
          <w:t xml:space="preserve">[4]</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Heading3"/>
      </w:pPr>
      <w:bookmarkStart w:id="123" w:name="_a6044de28c4be7f5f32a38ecbb8c01b0d409037"/>
      <w:r>
        <w:t xml:space="preserve">BBF-20: Formatting</w:t>
      </w:r>
      <w:r>
        <w:t xml:space="preserve"> </w:t>
      </w:r>
      <w:r>
        <w:t xml:space="preserve">‘error-string’</w:t>
      </w:r>
      <w:r>
        <w:t xml:space="preserve"> </w:t>
      </w:r>
      <w:r>
        <w:t xml:space="preserve">statements</w:t>
      </w:r>
      <w:bookmarkEnd w:id="123"/>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_9aa1375053d51ce8fa8cdf71cde3bc0571671c1">
        <w:r>
          <w:rPr>
            <w:rStyle w:val="Hyperlink"/>
          </w:rPr>
          <w:t xml:space="preserve">[4]</w:t>
        </w:r>
      </w:hyperlink>
      <w:r>
        <w:t xml:space="preserve">, section</w:t>
      </w:r>
      <w:r>
        <w:t xml:space="preserve"> </w:t>
      </w:r>
      <w:hyperlink r:id="rId60">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p>
      <w:pPr>
        <w:pStyle w:val="Heading3"/>
      </w:pPr>
      <w:bookmarkStart w:id="124" w:name="_4dec392c9843aa4f569c2015eb960eb0d83ae6b"/>
      <w:r>
        <w:t xml:space="preserve">BBF-21: Deprecating and Obsoleting Data Nodes</w:t>
      </w:r>
      <w:bookmarkEnd w:id="124"/>
    </w:p>
    <w:p>
      <w:pPr>
        <w:pStyle w:val="FirstParagraph"/>
      </w:pPr>
      <w:r>
        <w:t xml:space="preserve">There are times when the need arises to migrate away from using previously published data nodes:</w:t>
      </w:r>
    </w:p>
    <w:p>
      <w:pPr>
        <w:pStyle w:val="Compact"/>
        <w:numPr>
          <w:ilvl w:val="0"/>
          <w:numId w:val="1025"/>
        </w:numPr>
      </w:pPr>
      <w:r>
        <w:t xml:space="preserve">A newer, possibly more efficient, method has been defined.</w:t>
      </w:r>
    </w:p>
    <w:p>
      <w:pPr>
        <w:pStyle w:val="Compact"/>
        <w:numPr>
          <w:ilvl w:val="0"/>
          <w:numId w:val="1025"/>
        </w:numPr>
      </w:pPr>
      <w:r>
        <w:t xml:space="preserve">Error(s) existing in the current definition that cannot be resolved in a backward compatible way.</w:t>
      </w:r>
    </w:p>
    <w:p>
      <w:pPr>
        <w:pStyle w:val="Compact"/>
        <w:numPr>
          <w:ilvl w:val="0"/>
          <w:numId w:val="1025"/>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26"/>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26"/>
        </w:numPr>
      </w:pPr>
      <w:r>
        <w:t xml:space="preserve">The deprecated data nodes MUST remain in this state for at least two years.</w:t>
      </w:r>
    </w:p>
    <w:p>
      <w:pPr>
        <w:pStyle w:val="Compact"/>
        <w:numPr>
          <w:ilvl w:val="0"/>
          <w:numId w:val="1026"/>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26"/>
        </w:numPr>
      </w:pPr>
      <w:r>
        <w:t xml:space="preserve">The obsoleted data nodes MUST never be deleted from the YANG model.</w:t>
      </w:r>
    </w:p>
    <w:p>
      <w:pPr>
        <w:pStyle w:val="Heading3"/>
      </w:pPr>
      <w:bookmarkStart w:id="125" w:name="_e77f95c44ceaac832290315e7dead456592ef93"/>
      <w:r>
        <w:t xml:space="preserve">BBF-22: Backwards Compatibility</w:t>
      </w:r>
      <w:bookmarkEnd w:id="125"/>
    </w:p>
    <w:p>
      <w:pPr>
        <w:pStyle w:val="FirstParagraph"/>
      </w:pPr>
      <w:r>
        <w:t xml:space="preserve">An update to an existing YANG module is said to be backward compatible when the clients running with any older versions of the module are able to continue interoperating with a server running the updated version of the module without any issues.</w:t>
      </w:r>
    </w:p>
    <w:p>
      <w:pPr>
        <w:pStyle w:val="BodyText"/>
      </w:pPr>
      <w:r>
        <w:t xml:space="preserve">In general, BBF YANG modules SHOULD NOT introduce changes that are defined as backwards incompatible per RFC 7950</w:t>
      </w:r>
      <w:r>
        <w:t xml:space="preserve"> </w:t>
      </w:r>
      <w:hyperlink w:anchor="_9aa1375053d51ce8fa8cdf71cde3bc0571671c1">
        <w:r>
          <w:rPr>
            <w:rStyle w:val="Hyperlink"/>
          </w:rPr>
          <w:t xml:space="preserve">[4]</w:t>
        </w:r>
      </w:hyperlink>
      <w:r>
        <w:t xml:space="preserve"> </w:t>
      </w:r>
      <w:r>
        <w:t xml:space="preserve">section</w:t>
      </w:r>
      <w:r>
        <w:t xml:space="preserve"> </w:t>
      </w:r>
      <w:hyperlink r:id="rId126">
        <w:r>
          <w:rPr>
            <w:rStyle w:val="Hyperlink"/>
          </w:rPr>
          <w:t xml:space="preserve">11</w:t>
        </w:r>
      </w:hyperlink>
      <w:r>
        <w:t xml:space="preserve">. Instead, add new definitions and use methods of deprecating and obsoleting previous definitions per RFC 7950</w:t>
      </w:r>
      <w:r>
        <w:t xml:space="preserve"> </w:t>
      </w:r>
      <w:hyperlink w:anchor="_9aa1375053d51ce8fa8cdf71cde3bc0571671c1">
        <w:r>
          <w:rPr>
            <w:rStyle w:val="Hyperlink"/>
          </w:rPr>
          <w:t xml:space="preserve">[4]</w:t>
        </w:r>
      </w:hyperlink>
      <w:r>
        <w:t xml:space="preserve"> </w:t>
      </w:r>
      <w:r>
        <w:t xml:space="preserve">section</w:t>
      </w:r>
      <w:r>
        <w:t xml:space="preserve"> </w:t>
      </w:r>
      <w:hyperlink r:id="rId127">
        <w:r>
          <w:rPr>
            <w:rStyle w:val="Hyperlink"/>
          </w:rPr>
          <w:t xml:space="preserve">7.21.2</w:t>
        </w:r>
      </w:hyperlink>
      <w:r>
        <w:t xml:space="preserve"> </w:t>
      </w:r>
      <w:r>
        <w:t xml:space="preserve">and further clarified by BBF-21.</w:t>
      </w:r>
    </w:p>
    <w:p>
      <w:pPr>
        <w:pStyle w:val="BodyText"/>
      </w:pPr>
      <w:r>
        <w:t xml:space="preserve">However, experience has shown that in certain cases, additional considerations must be taken into account to decide if an update is acceptable, such as:</w:t>
      </w:r>
    </w:p>
    <w:p>
      <w:pPr>
        <w:pStyle w:val="Compact"/>
        <w:numPr>
          <w:ilvl w:val="0"/>
          <w:numId w:val="1027"/>
        </w:numPr>
      </w:pPr>
      <w:r>
        <w:t xml:space="preserve">changes that are backwards incompatible according to RFC 7950</w:t>
      </w:r>
      <w:r>
        <w:t xml:space="preserve"> </w:t>
      </w:r>
      <w:hyperlink w:anchor="_9aa1375053d51ce8fa8cdf71cde3bc0571671c1">
        <w:r>
          <w:rPr>
            <w:rStyle w:val="Hyperlink"/>
          </w:rPr>
          <w:t xml:space="preserve">[4]</w:t>
        </w:r>
      </w:hyperlink>
      <w:r>
        <w:t xml:space="preserve"> </w:t>
      </w:r>
      <w:r>
        <w:t xml:space="preserve">section</w:t>
      </w:r>
      <w:r>
        <w:t xml:space="preserve"> </w:t>
      </w:r>
      <w:hyperlink r:id="rId126">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Compact"/>
        <w:numPr>
          <w:ilvl w:val="0"/>
          <w:numId w:val="1027"/>
        </w:numPr>
      </w:pPr>
      <w:r>
        <w:t xml:space="preserve">RFC 7950</w:t>
      </w:r>
      <w:r>
        <w:t xml:space="preserve"> </w:t>
      </w:r>
      <w:hyperlink w:anchor="_9aa1375053d51ce8fa8cdf71cde3bc0571671c1">
        <w:r>
          <w:rPr>
            <w:rStyle w:val="Hyperlink"/>
          </w:rPr>
          <w:t xml:space="preserve">[4]</w:t>
        </w:r>
      </w:hyperlink>
      <w:r>
        <w:t xml:space="preserve"> </w:t>
      </w:r>
      <w:r>
        <w:t xml:space="preserve">section</w:t>
      </w:r>
      <w:r>
        <w:t xml:space="preserve"> </w:t>
      </w:r>
      <w:hyperlink r:id="rId126">
        <w:r>
          <w:rPr>
            <w:rStyle w:val="Hyperlink"/>
          </w:rPr>
          <w:t xml:space="preserve">11</w:t>
        </w:r>
      </w:hyperlink>
      <w:r>
        <w:t xml:space="preserve"> </w:t>
      </w:r>
      <w:r>
        <w:t xml:space="preserve">specifies a bullet list of changes that are considered backward compatible. A change that is not present in this bullet list could also be considered backward compatible if it meets the generic condition of backward compatibility defined in the first paragraph of this OD-360 guideline. Such cases require a case by case decision. For example adding a</w:t>
      </w:r>
      <w:r>
        <w:t xml:space="preserve"> </w:t>
      </w:r>
      <w:r>
        <w:t xml:space="preserve">‘require-instance false’</w:t>
      </w:r>
      <w:r>
        <w:t xml:space="preserve"> </w:t>
      </w:r>
      <w:r>
        <w:t xml:space="preserve">statement to an existing leafref relaxes the constraint, and therefore could be considered backwards compatible, but adding a new similar leaf that contains this statement is usually considered a better choice.</w:t>
      </w:r>
    </w:p>
    <w:p>
      <w:pPr>
        <w:pStyle w:val="FirstParagraph"/>
      </w:pPr>
      <w:r>
        <w:t xml:space="preserve">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p>
      <w:pPr>
        <w:pStyle w:val="Heading3"/>
      </w:pPr>
      <w:bookmarkStart w:id="128" w:name="_462b5ee56e3ea101c815bfba1fc483583a4e391"/>
      <w:r>
        <w:t xml:space="preserve">BBF-23:</w:t>
      </w:r>
      <w:r>
        <w:t xml:space="preserve"> </w:t>
      </w:r>
      <w:r>
        <w:t xml:space="preserve">“enable”</w:t>
      </w:r>
      <w:r>
        <w:t xml:space="preserve"> </w:t>
      </w:r>
      <w:r>
        <w:t xml:space="preserve">vs. </w:t>
      </w:r>
      <w:r>
        <w:t xml:space="preserve">“enabled”</w:t>
      </w:r>
      <w:bookmarkEnd w:id="128"/>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p>
      <w:pPr>
        <w:pStyle w:val="Heading3"/>
      </w:pPr>
      <w:bookmarkStart w:id="129" w:name="_d9361fe1321a23105005f3b0a41d84aec0e5756"/>
      <w:r>
        <w:t xml:space="preserve">BBF-24:</w:t>
      </w:r>
      <w:r>
        <w:t xml:space="preserve"> </w:t>
      </w:r>
      <w:r>
        <w:t xml:space="preserve">“oper-state”</w:t>
      </w:r>
      <w:r>
        <w:t xml:space="preserve"> </w:t>
      </w:r>
      <w:r>
        <w:t xml:space="preserve">vs. </w:t>
      </w:r>
      <w:r>
        <w:t xml:space="preserve">“oper-status”</w:t>
      </w:r>
      <w:bookmarkEnd w:id="129"/>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p>
      <w:pPr>
        <w:pStyle w:val="Heading3"/>
      </w:pPr>
      <w:bookmarkStart w:id="130" w:name="_c26aa4a4935e7c62609c448c2df4a73231b7f52"/>
      <w:r>
        <w:t xml:space="preserve">BBF-25: Reference Statements</w:t>
      </w:r>
      <w:bookmarkEnd w:id="130"/>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28"/>
        </w:numPr>
      </w:pPr>
      <w:r>
        <w:t xml:space="preserve">&lt;SDO&gt;: Standards Defining Organization</w:t>
      </w:r>
    </w:p>
    <w:p>
      <w:pPr>
        <w:pStyle w:val="Compact"/>
        <w:numPr>
          <w:ilvl w:val="1"/>
          <w:numId w:val="1029"/>
        </w:numPr>
      </w:pPr>
      <w:r>
        <w:t xml:space="preserve">Examples: IEEE, ITU-T</w:t>
      </w:r>
    </w:p>
    <w:p>
      <w:pPr>
        <w:pStyle w:val="Compact"/>
        <w:numPr>
          <w:ilvl w:val="1"/>
          <w:numId w:val="1029"/>
        </w:numPr>
      </w:pPr>
      <w:r>
        <w:t xml:space="preserve">Optional: For well known document types, e.g., RFC implies IETF and TR implies BBF, the SDO is not required.</w:t>
      </w:r>
    </w:p>
    <w:p>
      <w:pPr>
        <w:pStyle w:val="Compact"/>
        <w:numPr>
          <w:ilvl w:val="0"/>
          <w:numId w:val="1028"/>
        </w:numPr>
      </w:pPr>
      <w:r>
        <w:t xml:space="preserve">&lt;doc#&gt;: Document number</w:t>
      </w:r>
    </w:p>
    <w:p>
      <w:pPr>
        <w:pStyle w:val="Compact"/>
        <w:numPr>
          <w:ilvl w:val="1"/>
          <w:numId w:val="1030"/>
        </w:numPr>
      </w:pPr>
      <w:r>
        <w:t xml:space="preserve">Examples: TR-101i2, RFC 7950</w:t>
      </w:r>
    </w:p>
    <w:p>
      <w:pPr>
        <w:pStyle w:val="Compact"/>
        <w:numPr>
          <w:ilvl w:val="1"/>
          <w:numId w:val="1030"/>
        </w:numPr>
      </w:pPr>
      <w:r>
        <w:t xml:space="preserve">Mandatory</w:t>
      </w:r>
    </w:p>
    <w:p>
      <w:pPr>
        <w:pStyle w:val="Compact"/>
        <w:numPr>
          <w:ilvl w:val="1"/>
          <w:numId w:val="1030"/>
        </w:numPr>
      </w:pPr>
      <w:r>
        <w:t xml:space="preserve">For BBF documents, the Issue and/or Amendment and/or Corrigendum are included in the document number in the abbreviated format as described in IETF-7, e.g., TR-101i2, TR-385i2a1.</w:t>
      </w:r>
    </w:p>
    <w:p>
      <w:pPr>
        <w:pStyle w:val="Compact"/>
        <w:numPr>
          <w:ilvl w:val="0"/>
          <w:numId w:val="1028"/>
        </w:numPr>
      </w:pPr>
      <w:r>
        <w:t xml:space="preserve">&lt;version&gt;: Version or revision number and/or date</w:t>
      </w:r>
    </w:p>
    <w:p>
      <w:pPr>
        <w:pStyle w:val="Compact"/>
        <w:numPr>
          <w:ilvl w:val="1"/>
          <w:numId w:val="1031"/>
        </w:numPr>
      </w:pPr>
      <w:r>
        <w:t xml:space="preserve">Examples: (Revision 12.3), (2008/07)</w:t>
      </w:r>
    </w:p>
    <w:p>
      <w:pPr>
        <w:pStyle w:val="Compact"/>
        <w:numPr>
          <w:ilvl w:val="1"/>
          <w:numId w:val="1031"/>
        </w:numPr>
      </w:pPr>
      <w:r>
        <w:t xml:space="preserve">Optional: For documents whose name implies or specifies the version, e.g., RFC 8348, TR-383a6, additional version information is not required.</w:t>
      </w:r>
    </w:p>
    <w:p>
      <w:pPr>
        <w:pStyle w:val="Compact"/>
        <w:numPr>
          <w:ilvl w:val="0"/>
          <w:numId w:val="1028"/>
        </w:numPr>
      </w:pPr>
      <w:r>
        <w:t xml:space="preserve">&lt;R/S/C/T/F&gt;: Requirement/Section/Clause/Table/Figure</w:t>
      </w:r>
    </w:p>
    <w:p>
      <w:pPr>
        <w:pStyle w:val="Compact"/>
        <w:numPr>
          <w:ilvl w:val="1"/>
          <w:numId w:val="1032"/>
        </w:numPr>
      </w:pPr>
      <w:r>
        <w:t xml:space="preserve">Examples: R-13, Section 3.6, Clause 7.2.1, Table 2, Figure 5-4</w:t>
      </w:r>
    </w:p>
    <w:p>
      <w:pPr>
        <w:pStyle w:val="Compact"/>
        <w:numPr>
          <w:ilvl w:val="1"/>
          <w:numId w:val="1032"/>
        </w:numPr>
      </w:pPr>
      <w:r>
        <w:t xml:space="preserve">Optional: Only if applicable.</w:t>
      </w:r>
    </w:p>
    <w:p>
      <w:pPr>
        <w:pStyle w:val="Compact"/>
        <w:numPr>
          <w:ilvl w:val="1"/>
          <w:numId w:val="1032"/>
        </w:numPr>
      </w:pPr>
      <w:r>
        <w:t xml:space="preserve">Terminology MUST align with the terms used by the reference, e.g., Sections for RFCs, Clauses for ITU-T specifications.</w:t>
      </w:r>
    </w:p>
    <w:p>
      <w:pPr>
        <w:pStyle w:val="Compact"/>
        <w:numPr>
          <w:ilvl w:val="1"/>
          <w:numId w:val="103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32"/>
        </w:numPr>
      </w:pPr>
      <w:r>
        <w:t xml:space="preserve">If multiple are applicable in a given document, treat each as a separate reference.</w:t>
      </w:r>
    </w:p>
    <w:p>
      <w:pPr>
        <w:pStyle w:val="Compact"/>
        <w:numPr>
          <w:ilvl w:val="0"/>
          <w:numId w:val="1028"/>
        </w:numPr>
      </w:pPr>
      <w:r>
        <w:t xml:space="preserve">&lt;descr&gt;: Description of the reference</w:t>
      </w:r>
    </w:p>
    <w:p>
      <w:pPr>
        <w:pStyle w:val="Compact"/>
        <w:numPr>
          <w:ilvl w:val="1"/>
          <w:numId w:val="1033"/>
        </w:numPr>
      </w:pPr>
      <w:r>
        <w:t xml:space="preserve">Examples: variable name or specific identifier within the Section or Clause</w:t>
      </w:r>
    </w:p>
    <w:p>
      <w:pPr>
        <w:pStyle w:val="Compact"/>
        <w:numPr>
          <w:ilvl w:val="1"/>
          <w:numId w:val="1033"/>
        </w:numPr>
      </w:pPr>
      <w:r>
        <w:t xml:space="preserve">Optional: Should be used when it is possible to uniquely identify the parameter being modeled within the given reference.</w:t>
      </w:r>
    </w:p>
    <w:p>
      <w:pPr>
        <w:pStyle w:val="Compact"/>
        <w:numPr>
          <w:ilvl w:val="2"/>
          <w:numId w:val="1034"/>
        </w:numPr>
      </w:pPr>
      <w:r>
        <w:t xml:space="preserve">Examples:</w:t>
      </w:r>
    </w:p>
    <w:p>
      <w:pPr>
        <w:pStyle w:val="Compact"/>
        <w:numPr>
          <w:ilvl w:val="3"/>
          <w:numId w:val="103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3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3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3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33"/>
        </w:numPr>
      </w:pPr>
      <w:r>
        <w:t xml:space="preserve">In general, the title associated with the reference should not be used unless it also represents one of the above.</w:t>
      </w:r>
    </w:p>
    <w:p>
      <w:pPr>
        <w:pStyle w:val="Compact"/>
        <w:numPr>
          <w:ilvl w:val="0"/>
          <w:numId w:val="1028"/>
        </w:numPr>
      </w:pPr>
      <w:r>
        <w:t xml:space="preserve">&lt;URL&gt;: The URL of the associated reference used when there is no formal technical specification</w:t>
      </w:r>
    </w:p>
    <w:p>
      <w:pPr>
        <w:pStyle w:val="Compact"/>
        <w:numPr>
          <w:ilvl w:val="1"/>
          <w:numId w:val="1036"/>
        </w:numPr>
      </w:pPr>
      <w:r>
        <w:t xml:space="preserve">Example: github.com/grpc/grpc/blob/master/doc/connection-backoff.md</w:t>
      </w:r>
    </w:p>
    <w:p>
      <w:pPr>
        <w:pStyle w:val="Compact"/>
        <w:numPr>
          <w:ilvl w:val="1"/>
          <w:numId w:val="1036"/>
        </w:numPr>
      </w:pPr>
      <w:r>
        <w:t xml:space="preserve">Do not include the URL scheme, e.g., http:// or https://, as it may change. For example, a site may move from an unsecure (http) scheme to a secure (https) scheme.</w:t>
      </w:r>
    </w:p>
    <w:p>
      <w:pPr>
        <w:pStyle w:val="Compact"/>
        <w:numPr>
          <w:ilvl w:val="0"/>
          <w:numId w:val="1028"/>
        </w:numPr>
      </w:pPr>
      <w:r>
        <w:t xml:space="preserve">‘;’</w:t>
      </w:r>
      <w:r>
        <w:t xml:space="preserve">: Requirement separator</w:t>
      </w:r>
    </w:p>
    <w:p>
      <w:pPr>
        <w:pStyle w:val="Compact"/>
        <w:numPr>
          <w:ilvl w:val="1"/>
          <w:numId w:val="1037"/>
        </w:numPr>
      </w:pPr>
      <w:r>
        <w:t xml:space="preserve">Mandatory: A semicolon MUST be used to terminate all but the last reference when there are multiple references in a reference statement.</w:t>
      </w:r>
    </w:p>
    <w:p>
      <w:pPr>
        <w:pStyle w:val="Compact"/>
        <w:numPr>
          <w:ilvl w:val="1"/>
          <w:numId w:val="1037"/>
        </w:numPr>
      </w:pPr>
      <w:r>
        <w:t xml:space="preserve">Each reference MUST start on a new line.</w:t>
      </w:r>
    </w:p>
    <w:p>
      <w:pPr>
        <w:pStyle w:val="Compact"/>
        <w:numPr>
          <w:ilvl w:val="1"/>
          <w:numId w:val="1037"/>
        </w:numPr>
      </w:pPr>
      <w:r>
        <w:t xml:space="preserve">This is not applicable when there is only one reference in the reference statement.</w:t>
      </w:r>
    </w:p>
    <w:p>
      <w:pPr>
        <w:pStyle w:val="Compact"/>
        <w:numPr>
          <w:ilvl w:val="0"/>
          <w:numId w:val="102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3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38"/>
        </w:numPr>
      </w:pPr>
      <w:r>
        <w:t xml:space="preserve">This guideline does not apply to a reference statement within a revision statement. Those reference statements have a unique format used for drafts and publication.</w:t>
      </w:r>
    </w:p>
    <w:p>
      <w:pPr>
        <w:pStyle w:val="Compact"/>
        <w:numPr>
          <w:ilvl w:val="0"/>
          <w:numId w:val="1038"/>
        </w:numPr>
      </w:pPr>
      <w:r>
        <w:t xml:space="preserve">URL references should be periodically reviewed to ensure they still exist or have not been moved.</w:t>
      </w:r>
    </w:p>
    <w:p>
      <w:pPr>
        <w:pStyle w:val="Heading3"/>
      </w:pPr>
      <w:bookmarkStart w:id="131" w:name="_e508e6802eb3ceb31bc84672d531ce23ce85a0a"/>
      <w:r>
        <w:t xml:space="preserve">BBF-26: Body Statements</w:t>
      </w:r>
      <w:bookmarkEnd w:id="131"/>
    </w:p>
    <w:p>
      <w:pPr>
        <w:pStyle w:val="FirstParagraph"/>
      </w:pPr>
      <w:r>
        <w:t xml:space="preserve">The order of body statements in BBF YANG modules SHOULD follow the order as stated in the body-stmt ABNF grammar defined in RFC 7950</w:t>
      </w:r>
      <w:r>
        <w:t xml:space="preserve"> </w:t>
      </w:r>
      <w:hyperlink w:anchor="_9aa1375053d51ce8fa8cdf71cde3bc0571671c1">
        <w:r>
          <w:rPr>
            <w:rStyle w:val="Hyperlink"/>
          </w:rPr>
          <w:t xml:space="preserve">[4]</w:t>
        </w:r>
      </w:hyperlink>
      <w:r>
        <w:t xml:space="preserve"> </w:t>
      </w:r>
      <w:r>
        <w:t xml:space="preserve">section</w:t>
      </w:r>
      <w:r>
        <w:t xml:space="preserve"> </w:t>
      </w:r>
      <w:hyperlink r:id="rId132">
        <w:r>
          <w:rPr>
            <w:rStyle w:val="Hyperlink"/>
          </w:rPr>
          <w:t xml:space="preserve">14</w:t>
        </w:r>
      </w:hyperlink>
      <w:r>
        <w:t xml:space="preserve"> </w:t>
      </w:r>
      <w:r>
        <w:t xml:space="preserve">and as shown in the YANG Module Template defined in RFC 8407</w:t>
      </w:r>
      <w:r>
        <w:t xml:space="preserve"> </w:t>
      </w:r>
      <w:hyperlink w:anchor="_3ad76c0cb9b1ead647a1dff13fc24ddd70b3bb0">
        <w:r>
          <w:rPr>
            <w:rStyle w:val="Hyperlink"/>
          </w:rPr>
          <w:t xml:space="preserve">[6]</w:t>
        </w:r>
      </w:hyperlink>
      <w:r>
        <w:t xml:space="preserve"> </w:t>
      </w:r>
      <w:r>
        <w:t xml:space="preserve">Appendix</w:t>
      </w:r>
      <w:r>
        <w:t xml:space="preserve"> </w:t>
      </w:r>
      <w:hyperlink r:id="rId133">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39"/>
        </w:numPr>
      </w:pPr>
      <w:r>
        <w:t xml:space="preserve">extension statements</w:t>
      </w:r>
    </w:p>
    <w:p>
      <w:pPr>
        <w:pStyle w:val="Compact"/>
        <w:numPr>
          <w:ilvl w:val="0"/>
          <w:numId w:val="1039"/>
        </w:numPr>
      </w:pPr>
      <w:r>
        <w:t xml:space="preserve">feature statements</w:t>
      </w:r>
    </w:p>
    <w:p>
      <w:pPr>
        <w:pStyle w:val="Compact"/>
        <w:numPr>
          <w:ilvl w:val="0"/>
          <w:numId w:val="1039"/>
        </w:numPr>
      </w:pPr>
      <w:r>
        <w:t xml:space="preserve">identity statements</w:t>
      </w:r>
    </w:p>
    <w:p>
      <w:pPr>
        <w:pStyle w:val="Compact"/>
        <w:numPr>
          <w:ilvl w:val="0"/>
          <w:numId w:val="1039"/>
        </w:numPr>
      </w:pPr>
      <w:r>
        <w:t xml:space="preserve">typedef statements</w:t>
      </w:r>
    </w:p>
    <w:p>
      <w:pPr>
        <w:pStyle w:val="Compact"/>
        <w:numPr>
          <w:ilvl w:val="0"/>
          <w:numId w:val="1039"/>
        </w:numPr>
      </w:pPr>
      <w:r>
        <w:t xml:space="preserve">grouping statements</w:t>
      </w:r>
    </w:p>
    <w:p>
      <w:pPr>
        <w:pStyle w:val="Compact"/>
        <w:numPr>
          <w:ilvl w:val="0"/>
          <w:numId w:val="1039"/>
        </w:numPr>
      </w:pPr>
      <w:r>
        <w:t xml:space="preserve">data definition statements</w:t>
      </w:r>
    </w:p>
    <w:p>
      <w:pPr>
        <w:pStyle w:val="Compact"/>
        <w:numPr>
          <w:ilvl w:val="0"/>
          <w:numId w:val="1039"/>
        </w:numPr>
      </w:pPr>
      <w:r>
        <w:t xml:space="preserve">augment statements</w:t>
      </w:r>
    </w:p>
    <w:p>
      <w:pPr>
        <w:pStyle w:val="Compact"/>
        <w:numPr>
          <w:ilvl w:val="0"/>
          <w:numId w:val="1039"/>
        </w:numPr>
      </w:pPr>
      <w:r>
        <w:t xml:space="preserve">rpc statements</w:t>
      </w:r>
    </w:p>
    <w:p>
      <w:pPr>
        <w:pStyle w:val="Compact"/>
        <w:numPr>
          <w:ilvl w:val="0"/>
          <w:numId w:val="1039"/>
        </w:numPr>
      </w:pPr>
      <w:r>
        <w:t xml:space="preserve">notification statements</w:t>
      </w:r>
    </w:p>
    <w:p>
      <w:pPr>
        <w:pStyle w:val="Heading3"/>
      </w:pPr>
      <w:bookmarkStart w:id="134" w:name="_ba1c62665070be3155a84b4d1da73d5a18d616d"/>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bookmarkEnd w:id="134"/>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Heading3"/>
      </w:pPr>
      <w:bookmarkStart w:id="135" w:name="_ec0f6fb32d61293c49cd1103edc2f277edb476e"/>
      <w:r>
        <w:t xml:space="preserve">BBF-28: Description on</w:t>
      </w:r>
      <w:r>
        <w:t xml:space="preserve"> </w:t>
      </w:r>
      <w:r>
        <w:t xml:space="preserve">‘when’</w:t>
      </w:r>
      <w:r>
        <w:t xml:space="preserve"> </w:t>
      </w:r>
      <w:r>
        <w:t xml:space="preserve">statements</w:t>
      </w:r>
      <w:bookmarkEnd w:id="135"/>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p>
      <w:pPr>
        <w:pStyle w:val="Heading3"/>
      </w:pPr>
      <w:bookmarkStart w:id="136" w:name="_c9affe6aed5e6e759f50754ed9c153c96a8cf23"/>
      <w:r>
        <w:t xml:space="preserve">BBF-29: Use of English Contractions</w:t>
      </w:r>
      <w:bookmarkEnd w:id="136"/>
    </w:p>
    <w:p>
      <w:pPr>
        <w:pStyle w:val="FirstParagraph"/>
      </w:pPr>
      <w:r>
        <w:t xml:space="preserve">Descriptions in YANG modules are considered to be formal documentation. Therefore, English contractions, e.g., can’t, isn’t, etc., SHALL NOT be used in description statements.</w:t>
      </w:r>
    </w:p>
    <w:p>
      <w:pPr>
        <w:pStyle w:val="Heading3"/>
      </w:pPr>
      <w:bookmarkStart w:id="137" w:name="_32ddaa0fff65a70ade013c047f5f36a8e8c9193"/>
      <w:r>
        <w:t xml:space="preserve">BBF-30: Use of Presence statements</w:t>
      </w:r>
      <w:bookmarkEnd w:id="137"/>
    </w:p>
    <w:p>
      <w:pPr>
        <w:pStyle w:val="FirstParagraph"/>
      </w:pPr>
      <w:r>
        <w:t xml:space="preserve">A presence statement is a substatement of a container statement.</w:t>
      </w:r>
      <w:r>
        <w:t xml:space="preserve"> </w:t>
      </w:r>
      <w:r>
        <w:t xml:space="preserve">A container defined in YANG without a presence statement exists in the data tree of a datastore only for organizing the hierarchy of data nodes. A container defined with a presence statement assigns its meaning to the existence of the container in the data tree of a datastore.</w:t>
      </w:r>
    </w:p>
    <w:p>
      <w:pPr>
        <w:pStyle w:val="BodyText"/>
      </w:pPr>
      <w:r>
        <w:t xml:space="preserve">The use of a presence statement has the following effect: if mandatory data nodes and/or data nodes with a default value are defined within a presence container, then these data nodes will only exist if the container is present in the data store; if the container is not present, then these data nodes will also not be present in the data store. In contrast, a container without a presence statement that has one or more mandatory data nodes or data nodes with a default value will always exist with those data nodes.</w:t>
      </w:r>
    </w:p>
    <w:p>
      <w:pPr>
        <w:pStyle w:val="BodyText"/>
      </w:pPr>
      <w:r>
        <w:t xml:space="preserve">Note that for backward compatibility reasons, mandatory data nodes cannot be added to a newer revision of a YANG module. However, mandatory data nodes can be added to a newer revision conditionally, such as by embedding them in a container with a presence statement.</w:t>
      </w:r>
    </w:p>
    <w:p>
      <w:pPr>
        <w:pStyle w:val="BodyText"/>
      </w:pPr>
      <w:r>
        <w:t xml:space="preserve">In BBF modules containers shall be defined with a presence statement when:</w:t>
      </w:r>
    </w:p>
    <w:p>
      <w:pPr>
        <w:pStyle w:val="Compact"/>
        <w:numPr>
          <w:ilvl w:val="0"/>
          <w:numId w:val="1040"/>
        </w:numPr>
      </w:pPr>
      <w:r>
        <w:t xml:space="preserve">the presence of the container itself in the data tree has a meaning; for example, the presence of the container</w:t>
      </w:r>
      <w:r>
        <w:t xml:space="preserve"> </w:t>
      </w:r>
      <w:r>
        <w:t xml:space="preserve">‘l2-dhcpv4-relay’</w:t>
      </w:r>
      <w:r>
        <w:t xml:space="preserve"> </w:t>
      </w:r>
      <w:r>
        <w:t xml:space="preserve">in module bbf-l2-dhcpv4-relay in a data tree enables the DHCP relay function.</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  &lt;&lt; because of this meaning being assigned</w:t>
      </w:r>
      <w:r>
        <w:br/>
      </w:r>
      <w:r>
        <w:rPr>
          <w:rStyle w:val="VerbatimChar"/>
        </w:rPr>
        <w:t xml:space="preserve">      description</w:t>
      </w:r>
    </w:p>
    <w:p>
      <w:pPr>
        <w:pStyle w:val="Compact"/>
        <w:numPr>
          <w:ilvl w:val="0"/>
          <w:numId w:val="1041"/>
        </w:numPr>
      </w:pPr>
      <w:r>
        <w:t xml:space="preserve">the configuration of data nodes is to be conditionally enforced; for example, the reference to a profile is mandatory in the same</w:t>
      </w:r>
      <w:r>
        <w:t xml:space="preserve"> </w:t>
      </w:r>
      <w:r>
        <w:t xml:space="preserve">‘l2-dhcpv4-relay’</w:t>
      </w:r>
      <w:r>
        <w:t xml:space="preserve"> </w:t>
      </w:r>
      <w:r>
        <w:t xml:space="preserve">container referred to above, because from the moment the DHCP relay function is enabled, the means as to how DHCP messages are to be processed must be configured.</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w:t>
      </w:r>
      <w:r>
        <w:br/>
      </w:r>
      <w:r>
        <w:rPr>
          <w:rStyle w:val="VerbatimChar"/>
        </w:rPr>
        <w:t xml:space="preserve">      leaf enable</w:t>
      </w:r>
      <w:r>
        <w:br/>
      </w:r>
      <w:r>
        <w:rPr>
          <w:rStyle w:val="VerbatimChar"/>
        </w:rPr>
        <w:t xml:space="preserve">      leaf profile-ref {</w:t>
      </w:r>
      <w:r>
        <w:br/>
      </w:r>
      <w:r>
        <w:rPr>
          <w:rStyle w:val="VerbatimChar"/>
        </w:rPr>
        <w:t xml:space="preserve">        when "../enable = 'true'" {</w:t>
      </w:r>
      <w:r>
        <w:br/>
      </w:r>
      <w:r>
        <w:rPr>
          <w:rStyle w:val="VerbatimChar"/>
        </w:rPr>
        <w:t xml:space="preserve">          description</w:t>
      </w:r>
      <w:r>
        <w:br/>
      </w:r>
      <w:r>
        <w:rPr>
          <w:rStyle w:val="VerbatimChar"/>
        </w:rPr>
        <w:t xml:space="preserve">            "Applicable only when L2 DHCPv4 Relay Agent functionality</w:t>
      </w:r>
      <w:r>
        <w:br/>
      </w:r>
      <w:r>
        <w:rPr>
          <w:rStyle w:val="VerbatimChar"/>
        </w:rPr>
        <w:t xml:space="preserve">             is enabled.";</w:t>
      </w:r>
      <w:r>
        <w:br/>
      </w:r>
      <w:r>
        <w:rPr>
          <w:rStyle w:val="VerbatimChar"/>
        </w:rPr>
        <w:t xml:space="preserve">        }</w:t>
      </w:r>
      <w:r>
        <w:br/>
      </w:r>
      <w:r>
        <w:rPr>
          <w:rStyle w:val="VerbatimChar"/>
        </w:rPr>
        <w:t xml:space="preserve">        type leafref {</w:t>
      </w:r>
      <w:r>
        <w:br/>
      </w:r>
      <w:r>
        <w:rPr>
          <w:rStyle w:val="VerbatimChar"/>
        </w:rPr>
        <w:t xml:space="preserve">          path "/bbf-l2-d4r:l2-dhcpv4-relay-profiles/bbf-l2-d4r:l2-"</w:t>
      </w:r>
      <w:r>
        <w:br/>
      </w:r>
      <w:r>
        <w:rPr>
          <w:rStyle w:val="VerbatimChar"/>
        </w:rPr>
        <w:t xml:space="preserve">             + "dhcpv4-relay-profile/bbf-l2-d4r:name";</w:t>
      </w:r>
      <w:r>
        <w:br/>
      </w:r>
      <w:r>
        <w:rPr>
          <w:rStyle w:val="VerbatimChar"/>
        </w:rPr>
        <w:t xml:space="preserve">        }</w:t>
      </w:r>
      <w:r>
        <w:br/>
      </w:r>
      <w:r>
        <w:rPr>
          <w:rStyle w:val="VerbatimChar"/>
        </w:rPr>
        <w:t xml:space="preserve">        mandatory true;  &lt;&lt; to make this leaf conditionally mandatory</w:t>
      </w:r>
    </w:p>
    <w:p>
      <w:pPr>
        <w:pStyle w:val="Heading3"/>
      </w:pPr>
      <w:bookmarkStart w:id="138" w:name="_79b6fd6ecbb4358b3ec3fadbfda31be16bc6461"/>
      <w:r>
        <w:t xml:space="preserve">BBF-31: Formatting XPath expression arguments of YANG statements</w:t>
      </w:r>
      <w:bookmarkEnd w:id="138"/>
    </w:p>
    <w:p>
      <w:pPr>
        <w:pStyle w:val="FirstParagraph"/>
      </w:pPr>
      <w:r>
        <w:t xml:space="preserve">XPath expression arguments of</w:t>
      </w:r>
      <w:r>
        <w:t xml:space="preserve"> </w:t>
      </w:r>
      <w:r>
        <w:t xml:space="preserve">‘must’</w:t>
      </w:r>
      <w:r>
        <w:t xml:space="preserve">,</w:t>
      </w:r>
      <w:r>
        <w:t xml:space="preserve"> </w:t>
      </w:r>
      <w:r>
        <w:t xml:space="preserve">‘when’</w:t>
      </w:r>
      <w:r>
        <w:t xml:space="preserve"> </w:t>
      </w:r>
      <w:r>
        <w:t xml:space="preserve">and</w:t>
      </w:r>
      <w:r>
        <w:t xml:space="preserve"> </w:t>
      </w:r>
      <w:r>
        <w:t xml:space="preserve">‘path’</w:t>
      </w:r>
      <w:r>
        <w:t xml:space="preserve"> </w:t>
      </w:r>
      <w:r>
        <w:t xml:space="preserve">statements shall follow the following guidelines:</w:t>
      </w:r>
    </w:p>
    <w:p>
      <w:pPr>
        <w:pStyle w:val="Compact"/>
        <w:numPr>
          <w:ilvl w:val="0"/>
          <w:numId w:val="1042"/>
        </w:numPr>
      </w:pPr>
      <w:r>
        <w:t xml:space="preserve">the first line of the argument MUST be on the next line after the keyword with the opening quote using an additional two space indentation compared with that of the keyword.</w:t>
      </w:r>
    </w:p>
    <w:p>
      <w:pPr>
        <w:pStyle w:val="Compact"/>
        <w:numPr>
          <w:ilvl w:val="0"/>
          <w:numId w:val="1042"/>
        </w:numPr>
      </w:pPr>
      <w:r>
        <w:t xml:space="preserve">if the argument spans multiple lines, then the argument MUST be defined by concatenating individual quoted-string statements defined per line.</w:t>
      </w:r>
    </w:p>
    <w:p>
      <w:pPr>
        <w:pStyle w:val="Compact"/>
        <w:numPr>
          <w:ilvl w:val="0"/>
          <w:numId w:val="1042"/>
        </w:numPr>
      </w:pPr>
      <w:r>
        <w:t xml:space="preserve">these additional lines shall follow the indentation of the first line of the argument where the characters</w:t>
      </w:r>
      <w:r>
        <w:t xml:space="preserve"> </w:t>
      </w:r>
      <w:r>
        <w:t xml:space="preserve">“+”</w:t>
      </w:r>
      <w:r>
        <w:t xml:space="preserve"> </w:t>
      </w:r>
      <w:r>
        <w:t xml:space="preserve">precede a quoted string for which the opening quote of all lines aligns.</w:t>
      </w:r>
    </w:p>
    <w:p>
      <w:pPr>
        <w:pStyle w:val="FirstParagraph"/>
      </w:pPr>
      <w:r>
        <w:t xml:space="preserve">Examples:</w:t>
      </w:r>
    </w:p>
    <w:p>
      <w:pPr>
        <w:pStyle w:val="SourceCode"/>
      </w:pPr>
      <w:r>
        <w:rPr>
          <w:rStyle w:val="VerbatimChar"/>
        </w:rPr>
        <w:t xml:space="preserve">      leaf profile-ref {</w:t>
      </w:r>
      <w:r>
        <w:br/>
      </w:r>
      <w:r>
        <w:rPr>
          <w:rStyle w:val="VerbatimChar"/>
        </w:rPr>
        <w:t xml:space="preserve">        when</w:t>
      </w:r>
      <w:r>
        <w:br/>
      </w:r>
      <w:r>
        <w:rPr>
          <w:rStyle w:val="VerbatimChar"/>
        </w:rPr>
        <w:t xml:space="preserve">          "../enabled = 'true'"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type leafref {</w:t>
      </w:r>
      <w:r>
        <w:br/>
      </w:r>
      <w:r>
        <w:rPr>
          <w:rStyle w:val="VerbatimChar"/>
        </w:rPr>
        <w:t xml:space="preserve">          path</w:t>
      </w:r>
      <w:r>
        <w:br/>
      </w:r>
      <w:r>
        <w:rPr>
          <w:rStyle w:val="VerbatimChar"/>
        </w:rPr>
        <w:t xml:space="preserve">            "/bbf-icmpv6:icmpv6-profiles/bbf-icmpv6:"</w:t>
      </w:r>
      <w:r>
        <w:br/>
      </w:r>
      <w:r>
        <w:rPr>
          <w:rStyle w:val="VerbatimChar"/>
        </w:rPr>
        <w:t xml:space="preserve">          + "icmpv6-profile/bbf-icmpv6:name";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p>
    <w:p>
      <w:pPr>
        <w:pStyle w:val="SourceCode"/>
      </w:pPr>
      <w:r>
        <w:rPr>
          <w:rStyle w:val="VerbatimChar"/>
        </w:rPr>
        <w:t xml:space="preserve">    leaf shaper-name {</w:t>
      </w:r>
      <w:r>
        <w:br/>
      </w:r>
      <w:r>
        <w:rPr>
          <w:rStyle w:val="VerbatimChar"/>
        </w:rPr>
        <w:t xml:space="preserve">      type leafref {</w:t>
      </w:r>
      <w:r>
        <w:br/>
      </w:r>
      <w:r>
        <w:rPr>
          <w:rStyle w:val="VerbatimChar"/>
        </w:rPr>
        <w:t xml:space="preserve">        path</w:t>
      </w:r>
      <w:r>
        <w:br/>
      </w:r>
      <w:r>
        <w:rPr>
          <w:rStyle w:val="VerbatimChar"/>
        </w:rPr>
        <w:t xml:space="preserve">          "/bbf-qos-tm:tm-profiles/bbf-qos-shap:shaper-profile/"</w:t>
      </w:r>
      <w:r>
        <w:br/>
      </w:r>
      <w:r>
        <w:rPr>
          <w:rStyle w:val="VerbatimChar"/>
        </w:rPr>
        <w:t xml:space="preserve">        + "bbf-qos-shap:name";</w:t>
      </w:r>
      <w:r>
        <w:br/>
      </w:r>
      <w:r>
        <w:rPr>
          <w:rStyle w:val="VerbatimChar"/>
        </w:rPr>
        <w:t xml:space="preserve">      }</w:t>
      </w:r>
      <w:r>
        <w:br/>
      </w:r>
      <w:r>
        <w:rPr>
          <w:rStyle w:val="VerbatimChar"/>
        </w:rPr>
        <w:t xml:space="preserve">      must</w:t>
      </w:r>
      <w:r>
        <w:br/>
      </w:r>
      <w:r>
        <w:rPr>
          <w:rStyle w:val="VerbatimChar"/>
        </w:rPr>
        <w:t xml:space="preserve">        'boolean(/bbf-qos-tm:tm-profiles/bbf-qos-shap:shaper-profile'</w:t>
      </w:r>
      <w:r>
        <w:br/>
      </w:r>
      <w:r>
        <w:rPr>
          <w:rStyle w:val="VerbatimChar"/>
        </w:rPr>
        <w:t xml:space="preserve">      + '[bbf-qos-shap:name=current()]/bbf-qos-shap:'</w:t>
      </w:r>
      <w:r>
        <w:br/>
      </w:r>
      <w:r>
        <w:rPr>
          <w:rStyle w:val="VerbatimChar"/>
        </w:rPr>
        <w:t xml:space="preserve">      + 'single-token-bucket)' {</w:t>
      </w:r>
      <w:r>
        <w:br/>
      </w:r>
      <w:r>
        <w:rPr>
          <w:rStyle w:val="VerbatimChar"/>
        </w:rPr>
        <w:t xml:space="preserve">        error-message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w:t>
      </w:r>
    </w:p>
    <w:p>
      <w:pPr>
        <w:pStyle w:val="Heading3"/>
      </w:pPr>
      <w:bookmarkStart w:id="139" w:name="_d30abc44b378765c394a2a6918424033f00b789"/>
      <w:r>
        <w:t xml:space="preserve">BBF-32: Naming choices</w:t>
      </w:r>
      <w:bookmarkEnd w:id="139"/>
    </w:p>
    <w:p>
      <w:pPr>
        <w:pStyle w:val="FirstParagraph"/>
      </w:pPr>
      <w:r>
        <w:t xml:space="preserve">Choice statements can be augmented with additional case statements and in some</w:t>
      </w:r>
      <w:r>
        <w:t xml:space="preserve"> </w:t>
      </w:r>
      <w:r>
        <w:t xml:space="preserve">cases choice statements may be defined without case statements with the</w:t>
      </w:r>
      <w:r>
        <w:t xml:space="preserve"> </w:t>
      </w:r>
      <w:r>
        <w:t xml:space="preserve">expectation that case statements are to be added through augmentations from</w:t>
      </w:r>
      <w:r>
        <w:t xml:space="preserve"> </w:t>
      </w:r>
      <w:r>
        <w:t xml:space="preserve">other BBF modules, from modules from other SDOs or from vendor’s proprietary</w:t>
      </w:r>
      <w:r>
        <w:t xml:space="preserve"> </w:t>
      </w:r>
      <w:r>
        <w:t xml:space="preserve">modules.</w:t>
      </w:r>
    </w:p>
    <w:p>
      <w:pPr>
        <w:pStyle w:val="BodyText"/>
      </w:pPr>
      <w:r>
        <w:t xml:space="preserve">Therefore, the name of choices should not include the names of specific cases and</w:t>
      </w:r>
      <w:r>
        <w:t xml:space="preserve"> </w:t>
      </w:r>
      <w:r>
        <w:t xml:space="preserve">should always be generic in nature, i.e., describing the purpose of the choice</w:t>
      </w:r>
      <w:r>
        <w:t xml:space="preserve"> </w:t>
      </w:r>
      <w:r>
        <w:t xml:space="preserve">and not any specific implementation.</w:t>
      </w:r>
    </w:p>
    <w:p>
      <w:pPr>
        <w:pStyle w:val="BodyText"/>
      </w:pPr>
      <w:r>
        <w:t xml:space="preserve">A bad example would be as follows:</w:t>
      </w:r>
    </w:p>
    <w:p>
      <w:pPr>
        <w:pStyle w:val="SourceCode"/>
      </w:pPr>
      <w:r>
        <w:rPr>
          <w:rStyle w:val="VerbatimChar"/>
        </w:rPr>
        <w:t xml:space="preserve">    choice red-or-green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If the choice above would be augmented with a case</w:t>
      </w:r>
      <w:r>
        <w:t xml:space="preserve"> </w:t>
      </w:r>
      <w:r>
        <w:t xml:space="preserve">‘blue’</w:t>
      </w:r>
      <w:r>
        <w:t xml:space="preserve">, then the name of the</w:t>
      </w:r>
      <w:r>
        <w:t xml:space="preserve"> </w:t>
      </w:r>
      <w:r>
        <w:t xml:space="preserve">choice would become inconsistent and misleading.</w:t>
      </w:r>
    </w:p>
    <w:p>
      <w:pPr>
        <w:pStyle w:val="BodyText"/>
      </w:pPr>
      <w:r>
        <w:t xml:space="preserve">A more generic and preferred naming would be as follows:</w:t>
      </w:r>
    </w:p>
    <w:p>
      <w:pPr>
        <w:pStyle w:val="SourceCode"/>
      </w:pPr>
      <w:r>
        <w:rPr>
          <w:rStyle w:val="VerbatimChar"/>
        </w:rPr>
        <w:t xml:space="preserve">    choice color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Heading3"/>
      </w:pPr>
      <w:bookmarkStart w:id="140" w:name="_2e42482474bff85602ba9b0a80398eec573ea06"/>
      <w:r>
        <w:t xml:space="preserve">BBF-33: Mapping of alarm type identifiers to ITU-T X.733 and ITU-T X.736 event types</w:t>
      </w:r>
      <w:bookmarkEnd w:id="140"/>
    </w:p>
    <w:p>
      <w:pPr>
        <w:pStyle w:val="FirstParagraph"/>
      </w:pPr>
      <w:r>
        <w:t xml:space="preserve">ITU-T X.733 Clause 8.1.1</w:t>
      </w:r>
      <w:r>
        <w:t xml:space="preserve"> </w:t>
      </w:r>
      <w:hyperlink w:anchor="_1c483dfdcd2d45170f9d1d1b9fcded940f44491">
        <w:r>
          <w:rPr>
            <w:rStyle w:val="Hyperlink"/>
          </w:rPr>
          <w:t xml:space="preserve">[8]</w:t>
        </w:r>
      </w:hyperlink>
      <w:r>
        <w:t xml:space="preserve"> </w:t>
      </w:r>
      <w:r>
        <w:t xml:space="preserve">and ITU-T X.736 Clause 8.1.1</w:t>
      </w:r>
      <w:r>
        <w:t xml:space="preserve"> </w:t>
      </w:r>
      <w:hyperlink w:anchor="_bcbc3edaee3875fd549183b99e7c4e09ee66c93">
        <w:r>
          <w:rPr>
            <w:rStyle w:val="Hyperlink"/>
          </w:rPr>
          <w:t xml:space="preserve">[9]</w:t>
        </w:r>
      </w:hyperlink>
      <w:r>
        <w:t xml:space="preserve"> </w:t>
      </w:r>
      <w:r>
        <w:t xml:space="preserve">define a series</w:t>
      </w:r>
      <w:r>
        <w:t xml:space="preserve"> </w:t>
      </w:r>
      <w:r>
        <w:t xml:space="preserve">of</w:t>
      </w:r>
      <w:r>
        <w:t xml:space="preserve"> </w:t>
      </w:r>
      <w:r>
        <w:t xml:space="preserve">‘event types’</w:t>
      </w:r>
      <w:r>
        <w:t xml:space="preserve">, such as</w:t>
      </w:r>
      <w:r>
        <w:t xml:space="preserve"> </w:t>
      </w:r>
      <w:r>
        <w:t xml:space="preserve">‘communications alarm type’</w:t>
      </w:r>
      <w:r>
        <w:t xml:space="preserve">,</w:t>
      </w:r>
      <w:r>
        <w:t xml:space="preserve"> </w:t>
      </w:r>
      <w:r>
        <w:t xml:space="preserve">‘quality of service alarm type’</w:t>
      </w:r>
      <w:r>
        <w:t xml:space="preserve"> </w:t>
      </w:r>
      <w:r>
        <w:t xml:space="preserve">or</w:t>
      </w:r>
      <w:r>
        <w:t xml:space="preserve"> </w:t>
      </w:r>
      <w:r>
        <w:t xml:space="preserve">‘integrity violation’</w:t>
      </w:r>
      <w:r>
        <w:t xml:space="preserve"> </w:t>
      </w:r>
      <w:r>
        <w:t xml:space="preserve">to categorize alarms. Event types are refined through</w:t>
      </w:r>
      <w:r>
        <w:t xml:space="preserve"> </w:t>
      </w:r>
      <w:r>
        <w:t xml:space="preserve">‘event information’</w:t>
      </w:r>
      <w:r>
        <w:t xml:space="preserve">, which includes a</w:t>
      </w:r>
      <w:r>
        <w:t xml:space="preserve"> </w:t>
      </w:r>
      <w:r>
        <w:t xml:space="preserve">‘probable cause’</w:t>
      </w:r>
      <w:r>
        <w:t xml:space="preserve">, a</w:t>
      </w:r>
      <w:r>
        <w:t xml:space="preserve"> </w:t>
      </w:r>
      <w:r>
        <w:t xml:space="preserve">‘specific problem’</w:t>
      </w:r>
      <w:r>
        <w:t xml:space="preserve"> </w:t>
      </w:r>
      <w:r>
        <w:t xml:space="preserve">and a</w:t>
      </w:r>
      <w:r>
        <w:t xml:space="preserve"> </w:t>
      </w:r>
      <w:r>
        <w:t xml:space="preserve">‘perceived severity’</w:t>
      </w:r>
      <w:r>
        <w:t xml:space="preserve">.</w:t>
      </w:r>
    </w:p>
    <w:p>
      <w:pPr>
        <w:pStyle w:val="BodyText"/>
      </w:pPr>
      <w:r>
        <w:t xml:space="preserve">BBF Alarm Management for Access Nodes</w:t>
      </w:r>
      <w:r>
        <w:t xml:space="preserve"> </w:t>
      </w:r>
      <w:hyperlink w:anchor="_c881cfca486279894d799dfa985220a9373daeb">
        <w:r>
          <w:rPr>
            <w:rStyle w:val="Hyperlink"/>
          </w:rPr>
          <w:t xml:space="preserve">[1]</w:t>
        </w:r>
      </w:hyperlink>
      <w:r>
        <w:t xml:space="preserve"> </w:t>
      </w:r>
      <w:r>
        <w:t xml:space="preserve">is based on the YANG module ietf-alarms</w:t>
      </w:r>
      <w:r>
        <w:t xml:space="preserve"> </w:t>
      </w:r>
      <w:r>
        <w:t xml:space="preserve">as defined by RFC 8632</w:t>
      </w:r>
      <w:r>
        <w:t xml:space="preserve"> </w:t>
      </w:r>
      <w:r>
        <w:t xml:space="preserve">“YANG Data Model for Alarm Management”</w:t>
      </w:r>
      <w:r>
        <w:t xml:space="preserve"> </w:t>
      </w:r>
      <w:hyperlink w:anchor="_989e6c6e50f32938c6eb9e2e354cca8a0aff0ae">
        <w:r>
          <w:rPr>
            <w:rStyle w:val="Hyperlink"/>
          </w:rPr>
          <w:t xml:space="preserve">[7]</w:t>
        </w:r>
      </w:hyperlink>
      <w:r>
        <w:t xml:space="preserve">. In RFC 8632</w:t>
      </w:r>
      <w:r>
        <w:t xml:space="preserve"> </w:t>
      </w:r>
      <w:r>
        <w:t xml:space="preserve">an alarm is uniquely identified through an</w:t>
      </w:r>
      <w:r>
        <w:t xml:space="preserve"> </w:t>
      </w:r>
      <w:r>
        <w:t xml:space="preserve">‘alarm type’</w:t>
      </w:r>
      <w:r>
        <w:t xml:space="preserve">, which consists of an</w:t>
      </w:r>
      <w:r>
        <w:t xml:space="preserve"> </w:t>
      </w:r>
      <w:r>
        <w:t xml:space="preserve">‘alarm type</w:t>
      </w:r>
      <w:r>
        <w:t xml:space="preserve"> </w:t>
      </w:r>
      <w:r>
        <w:t xml:space="preserve">identifier’</w:t>
      </w:r>
      <w:r>
        <w:t xml:space="preserve"> </w:t>
      </w:r>
      <w:r>
        <w:t xml:space="preserve">and an</w:t>
      </w:r>
      <w:r>
        <w:t xml:space="preserve"> </w:t>
      </w:r>
      <w:r>
        <w:t xml:space="preserve">‘alarm type qualifier’</w:t>
      </w:r>
      <w:r>
        <w:t xml:space="preserve">, and the resource which has raised the alarm.</w:t>
      </w:r>
      <w:r>
        <w:t xml:space="preserve"> </w:t>
      </w:r>
      <w:r>
        <w:t xml:space="preserve">To be able to be integrated into the BBF Alarm Management, BBF YANG data models must define</w:t>
      </w:r>
      <w:r>
        <w:t xml:space="preserve"> </w:t>
      </w:r>
      <w:r>
        <w:t xml:space="preserve">‘alarm type identifiers’</w:t>
      </w:r>
      <w:r>
        <w:t xml:space="preserve">.</w:t>
      </w:r>
    </w:p>
    <w:p>
      <w:pPr>
        <w:pStyle w:val="BodyText"/>
      </w:pPr>
      <w:r>
        <w:t xml:space="preserve">To retain continuity for operators between alarm management according to RFC 8632 and</w:t>
      </w:r>
      <w:r>
        <w:t xml:space="preserve"> </w:t>
      </w:r>
      <w:r>
        <w:t xml:space="preserve">the ITU-T X.733 and ITU-T X.736 alarm standards, RFC 8632 supports the additional YANG</w:t>
      </w:r>
      <w:r>
        <w:t xml:space="preserve"> </w:t>
      </w:r>
      <w:r>
        <w:t xml:space="preserve">module ietf-alarms-x733, which augments the alarm inventory, the alarm lists, and the</w:t>
      </w:r>
      <w:r>
        <w:t xml:space="preserve"> </w:t>
      </w:r>
      <w:r>
        <w:t xml:space="preserve">alarm notification with X.733 and X.736 parameters as well as the mapping of event types</w:t>
      </w:r>
      <w:r>
        <w:t xml:space="preserve"> </w:t>
      </w:r>
      <w:r>
        <w:t xml:space="preserve">and probable cause to individual alarm types as summarized in the YANG tree below (alarm</w:t>
      </w:r>
      <w:r>
        <w:t xml:space="preserve"> </w:t>
      </w:r>
      <w:r>
        <w:t xml:space="preserve">notification not shown for clarity as this is basically the same as the entry in the</w:t>
      </w:r>
      <w:r>
        <w:t xml:space="preserve"> </w:t>
      </w:r>
      <w:r>
        <w:t xml:space="preserve">alarm list).</w:t>
      </w:r>
    </w:p>
    <w:p>
      <w:pPr>
        <w:pStyle w:val="SourceCode"/>
      </w:pPr>
      <w:r>
        <w:rPr>
          <w:rStyle w:val="VerbatimChar"/>
        </w:rPr>
        <w:t xml:space="preserve">  +--rw alarms</w:t>
      </w:r>
      <w:r>
        <w:br/>
      </w:r>
      <w:r>
        <w:rPr>
          <w:rStyle w:val="VerbatimChar"/>
        </w:rPr>
        <w:t xml:space="preserve">     +--rw control</w:t>
      </w:r>
      <w:r>
        <w:br/>
      </w:r>
      <w:r>
        <w:rPr>
          <w:rStyle w:val="VerbatimChar"/>
        </w:rPr>
        <w:t xml:space="preserve">     |  ...</w:t>
      </w:r>
      <w:r>
        <w:br/>
      </w:r>
      <w:r>
        <w:rPr>
          <w:rStyle w:val="VerbatimChar"/>
        </w:rPr>
        <w:t xml:space="preserve">     |  +--rw alarm-shelving {alarm-shelving}?</w:t>
      </w:r>
      <w:r>
        <w:br/>
      </w:r>
      <w:r>
        <w:rPr>
          <w:rStyle w:val="VerbatimChar"/>
        </w:rPr>
        <w:t xml:space="preserve">     |  |  ...</w:t>
      </w:r>
      <w:r>
        <w:br/>
      </w:r>
      <w:r>
        <w:rPr>
          <w:rStyle w:val="VerbatimChar"/>
        </w:rPr>
        <w:t xml:space="preserve">     |  +--rw x733:x733-mapping* [alarm-type-id alarm-type-qualifier-match] {configure-x733-mapping}?</w:t>
      </w:r>
      <w:r>
        <w:br/>
      </w:r>
      <w:r>
        <w:rPr>
          <w:rStyle w:val="VerbatimChar"/>
        </w:rPr>
        <w:t xml:space="preserve">     |     +--rw x733:alarm-type-id               al:alarm-type-id</w:t>
      </w:r>
      <w:r>
        <w:br/>
      </w:r>
      <w:r>
        <w:rPr>
          <w:rStyle w:val="VerbatimChar"/>
        </w:rPr>
        <w:t xml:space="preserve">     |     +--rw x733:alarm-type-qualifier-match  string</w:t>
      </w:r>
      <w:r>
        <w:br/>
      </w:r>
      <w:r>
        <w:rPr>
          <w:rStyle w:val="VerbatimChar"/>
        </w:rPr>
        <w:t xml:space="preserve">     |     +--rw x733:event-type?                 event-type</w:t>
      </w:r>
      <w:r>
        <w:br/>
      </w:r>
      <w:r>
        <w:rPr>
          <w:rStyle w:val="VerbatimChar"/>
        </w:rPr>
        <w:t xml:space="preserve">     |     +--rw x733:probable-cause?             uint32</w:t>
      </w:r>
      <w:r>
        <w:br/>
      </w:r>
      <w:r>
        <w:rPr>
          <w:rStyle w:val="VerbatimChar"/>
        </w:rPr>
        <w:t xml:space="preserve">     |     +--rw x733:probable-cause-string?      string</w:t>
      </w:r>
      <w:r>
        <w:br/>
      </w:r>
      <w:r>
        <w:rPr>
          <w:rStyle w:val="VerbatimChar"/>
        </w:rPr>
        <w:t xml:space="preserve">     +--ro alarm-inventory</w:t>
      </w:r>
      <w:r>
        <w:br/>
      </w:r>
      <w:r>
        <w:rPr>
          <w:rStyle w:val="VerbatimChar"/>
        </w:rPr>
        <w:t xml:space="preserve">     |  +--ro alarm-type* [alarm-type-id alarm-type-qualifier]</w:t>
      </w:r>
      <w:r>
        <w:br/>
      </w:r>
      <w:r>
        <w:rPr>
          <w:rStyle w:val="VerbatimChar"/>
        </w:rPr>
        <w:t xml:space="preserve">     |     +--ro alarm-type-id               alarm-type-id</w:t>
      </w:r>
      <w:r>
        <w:br/>
      </w:r>
      <w:r>
        <w:rPr>
          <w:rStyle w:val="VerbatimChar"/>
        </w:rPr>
        <w:t xml:space="preserve">     |     +--ro alarm-type-qualifier        alarm-type-qualifier</w:t>
      </w:r>
      <w:r>
        <w:br/>
      </w:r>
      <w:r>
        <w:rPr>
          <w:rStyle w:val="VerbatimChar"/>
        </w:rPr>
        <w:t xml:space="preserve">     |     +--ro resource*                   resource-match</w:t>
      </w:r>
      <w:r>
        <w:br/>
      </w:r>
      <w:r>
        <w:rPr>
          <w:rStyle w:val="VerbatimChar"/>
        </w:rPr>
        <w:t xml:space="preserve">     |     ...</w:t>
      </w:r>
      <w:r>
        <w:br/>
      </w:r>
      <w:r>
        <w:rPr>
          <w:rStyle w:val="VerbatimChar"/>
        </w:rPr>
        <w:t xml:space="preserve">     |     +--ro x733:event-type?            event-type</w:t>
      </w:r>
      <w:r>
        <w:br/>
      </w:r>
      <w:r>
        <w:rPr>
          <w:rStyle w:val="VerbatimChar"/>
        </w:rPr>
        <w:t xml:space="preserve">     |     +--ro x733:probable-cause?        uint32</w:t>
      </w:r>
      <w:r>
        <w:br/>
      </w:r>
      <w:r>
        <w:rPr>
          <w:rStyle w:val="VerbatimChar"/>
        </w:rPr>
        <w:t xml:space="preserve">     |     +--ro x733:probable-cause-string? string</w:t>
      </w:r>
      <w:r>
        <w:br/>
      </w:r>
      <w:r>
        <w:rPr>
          <w:rStyle w:val="VerbatimChar"/>
        </w:rPr>
        <w:t xml:space="preserve">     +--ro summary {alarm-summary}?</w:t>
      </w:r>
      <w:r>
        <w:br/>
      </w:r>
      <w:r>
        <w:rPr>
          <w:rStyle w:val="VerbatimChar"/>
        </w:rPr>
        <w:t xml:space="preserve">     |  ...</w:t>
      </w:r>
      <w:r>
        <w:br/>
      </w:r>
      <w:r>
        <w:rPr>
          <w:rStyle w:val="VerbatimChar"/>
        </w:rPr>
        <w:t xml:space="preserve">     +--ro alarm-list</w:t>
      </w:r>
      <w:r>
        <w:br/>
      </w:r>
      <w:r>
        <w:rPr>
          <w:rStyle w:val="VerbatimChar"/>
        </w:rPr>
        <w:t xml:space="preserve">     |  ...</w:t>
      </w:r>
      <w:r>
        <w:br/>
      </w:r>
      <w:r>
        <w:rPr>
          <w:rStyle w:val="VerbatimChar"/>
        </w:rPr>
        <w:t xml:space="preserve">     |  +--ro alarm* [resource alarm-type-id alarm-type-qualifier]</w:t>
      </w:r>
      <w:r>
        <w:br/>
      </w:r>
      <w:r>
        <w:rPr>
          <w:rStyle w:val="VerbatimChar"/>
        </w:rPr>
        <w:t xml:space="preserve">     |  |  +--ro resource                      resource</w:t>
      </w:r>
      <w:r>
        <w:br/>
      </w:r>
      <w:r>
        <w:rPr>
          <w:rStyle w:val="VerbatimChar"/>
        </w:rPr>
        <w:t xml:space="preserve">     |  |  +--ro alarm-type-id                 alarm-type-id</w:t>
      </w:r>
      <w:r>
        <w:br/>
      </w:r>
      <w:r>
        <w:rPr>
          <w:rStyle w:val="VerbatimChar"/>
        </w:rPr>
        <w:t xml:space="preserve">     |  |  +--ro alarm-type-qualifier          alarm-type-qualifier</w:t>
      </w:r>
      <w:r>
        <w:br/>
      </w:r>
      <w:r>
        <w:rPr>
          <w:rStyle w:val="VerbatimChar"/>
        </w:rPr>
        <w:t xml:space="preserve">     |  |  ...</w:t>
      </w:r>
      <w:r>
        <w:br/>
      </w:r>
      <w:r>
        <w:rPr>
          <w:rStyle w:val="VerbatimChar"/>
        </w:rPr>
        <w:t xml:space="preserve">     |  |  +--ro x733:event-type?              event-type</w:t>
      </w:r>
      <w:r>
        <w:br/>
      </w:r>
      <w:r>
        <w:rPr>
          <w:rStyle w:val="VerbatimChar"/>
        </w:rPr>
        <w:t xml:space="preserve">     |  |  +--ro x733:probable-cause?          uint32</w:t>
      </w:r>
      <w:r>
        <w:br/>
      </w:r>
      <w:r>
        <w:rPr>
          <w:rStyle w:val="VerbatimChar"/>
        </w:rPr>
        <w:t xml:space="preserve">     |  |  +--ro x733:probable-cause-string?   string</w:t>
      </w:r>
      <w:r>
        <w:br/>
      </w:r>
      <w:r>
        <w:rPr>
          <w:rStyle w:val="VerbatimChar"/>
        </w:rPr>
        <w:t xml:space="preserve">     |  |  +--ro x733:threshold-information</w:t>
      </w:r>
      <w:r>
        <w:br/>
      </w:r>
      <w:r>
        <w:rPr>
          <w:rStyle w:val="VerbatimChar"/>
        </w:rPr>
        <w:t xml:space="preserve">     |  |  |  +--ro x733:triggered-threshold? string</w:t>
      </w:r>
      <w:r>
        <w:br/>
      </w:r>
      <w:r>
        <w:rPr>
          <w:rStyle w:val="VerbatimChar"/>
        </w:rPr>
        <w:t xml:space="preserve">     |  |  |  +--ro x733:observed-value?      value-type</w:t>
      </w:r>
      <w:r>
        <w:br/>
      </w:r>
      <w:r>
        <w:rPr>
          <w:rStyle w:val="VerbatimChar"/>
        </w:rPr>
        <w:t xml:space="preserve">     |  |  |  +--ro (threshold-level)?</w:t>
      </w:r>
      <w:r>
        <w:br/>
      </w:r>
      <w:r>
        <w:rPr>
          <w:rStyle w:val="VerbatimChar"/>
        </w:rPr>
        <w:t xml:space="preserve">     |  |  |  |  +--:(up)</w:t>
      </w:r>
      <w:r>
        <w:br/>
      </w:r>
      <w:r>
        <w:rPr>
          <w:rStyle w:val="VerbatimChar"/>
        </w:rPr>
        <w:t xml:space="preserve">     |  |  |  |  |  +--ro x733:up-high?             value-type</w:t>
      </w:r>
      <w:r>
        <w:br/>
      </w:r>
      <w:r>
        <w:rPr>
          <w:rStyle w:val="VerbatimChar"/>
        </w:rPr>
        <w:t xml:space="preserve">     |  |  |  |  |  +--ro x733:up-low?              value-type</w:t>
      </w:r>
      <w:r>
        <w:br/>
      </w:r>
      <w:r>
        <w:rPr>
          <w:rStyle w:val="VerbatimChar"/>
        </w:rPr>
        <w:t xml:space="preserve">     |  |  |  |  +--:(down)</w:t>
      </w:r>
      <w:r>
        <w:br/>
      </w:r>
      <w:r>
        <w:rPr>
          <w:rStyle w:val="VerbatimChar"/>
        </w:rPr>
        <w:t xml:space="preserve">     |  |  |  |     +--ro x733:down-low?            value-type</w:t>
      </w:r>
      <w:r>
        <w:br/>
      </w:r>
      <w:r>
        <w:rPr>
          <w:rStyle w:val="VerbatimChar"/>
        </w:rPr>
        <w:t xml:space="preserve">     |  |  |  |     +--ro x733:down-high?           value-type</w:t>
      </w:r>
      <w:r>
        <w:br/>
      </w:r>
      <w:r>
        <w:rPr>
          <w:rStyle w:val="VerbatimChar"/>
        </w:rPr>
        <w:t xml:space="preserve">     |  |  |  +--ro x733:arm-time?            yang:date-and-time</w:t>
      </w:r>
      <w:r>
        <w:br/>
      </w:r>
      <w:r>
        <w:rPr>
          <w:rStyle w:val="VerbatimChar"/>
        </w:rPr>
        <w:t xml:space="preserve">     |  |  +--ro x733:monitored-attributes* [id]</w:t>
      </w:r>
      <w:r>
        <w:br/>
      </w:r>
      <w:r>
        <w:rPr>
          <w:rStyle w:val="VerbatimChar"/>
        </w:rPr>
        <w:t xml:space="preserve">     |  |  |  +--ro x733:id     al:resource</w:t>
      </w:r>
      <w:r>
        <w:br/>
      </w:r>
      <w:r>
        <w:rPr>
          <w:rStyle w:val="VerbatimChar"/>
        </w:rPr>
        <w:t xml:space="preserve">     |  |  |  +--ro x733:value? string</w:t>
      </w:r>
      <w:r>
        <w:br/>
      </w:r>
      <w:r>
        <w:rPr>
          <w:rStyle w:val="VerbatimChar"/>
        </w:rPr>
        <w:t xml:space="preserve">     |  |  +--ro x733:proposed-repair-actions* string</w:t>
      </w:r>
      <w:r>
        <w:br/>
      </w:r>
      <w:r>
        <w:rPr>
          <w:rStyle w:val="VerbatimChar"/>
        </w:rPr>
        <w:t xml:space="preserve">     |  |  +--ro x733:trend-indication?        trend</w:t>
      </w:r>
      <w:r>
        <w:br/>
      </w:r>
      <w:r>
        <w:rPr>
          <w:rStyle w:val="VerbatimChar"/>
        </w:rPr>
        <w:t xml:space="preserve">     |  |  +--ro x733:backedup-status?         boolean</w:t>
      </w:r>
      <w:r>
        <w:br/>
      </w:r>
      <w:r>
        <w:rPr>
          <w:rStyle w:val="VerbatimChar"/>
        </w:rPr>
        <w:t xml:space="preserve">     |  |  +--ro x733:backup-object?           al:resource</w:t>
      </w:r>
      <w:r>
        <w:br/>
      </w:r>
      <w:r>
        <w:rPr>
          <w:rStyle w:val="VerbatimChar"/>
        </w:rPr>
        <w:t xml:space="preserve">     |  |  +--ro x733:additional-information* [identifier]</w:t>
      </w:r>
      <w:r>
        <w:br/>
      </w:r>
      <w:r>
        <w:rPr>
          <w:rStyle w:val="VerbatimChar"/>
        </w:rPr>
        <w:t xml:space="preserve">     |  |  |  +--ro x733:identifier   string</w:t>
      </w:r>
      <w:r>
        <w:br/>
      </w:r>
      <w:r>
        <w:rPr>
          <w:rStyle w:val="VerbatimChar"/>
        </w:rPr>
        <w:t xml:space="preserve">     |  |  |  +--ro x733:significant? boolean</w:t>
      </w:r>
      <w:r>
        <w:br/>
      </w:r>
      <w:r>
        <w:rPr>
          <w:rStyle w:val="VerbatimChar"/>
        </w:rPr>
        <w:t xml:space="preserve">     |  |  |  +--ro x733:information? string</w:t>
      </w:r>
      <w:r>
        <w:br/>
      </w:r>
      <w:r>
        <w:rPr>
          <w:rStyle w:val="VerbatimChar"/>
        </w:rPr>
        <w:t xml:space="preserve">     |  |  +--ro x733:security-alarm-detector? al:resource</w:t>
      </w:r>
      <w:r>
        <w:br/>
      </w:r>
      <w:r>
        <w:rPr>
          <w:rStyle w:val="VerbatimChar"/>
        </w:rPr>
        <w:t xml:space="preserve">     |  |  +--ro x733:service-user?            al:resource</w:t>
      </w:r>
      <w:r>
        <w:br/>
      </w:r>
      <w:r>
        <w:rPr>
          <w:rStyle w:val="VerbatimChar"/>
        </w:rPr>
        <w:t xml:space="preserve">     |  |  +--ro x733:service-provider?        al:resource</w:t>
      </w:r>
      <w:r>
        <w:br/>
      </w:r>
      <w:r>
        <w:rPr>
          <w:rStyle w:val="VerbatimChar"/>
        </w:rPr>
        <w:t xml:space="preserve">     |  |  ...</w:t>
      </w:r>
      <w:r>
        <w:br/>
      </w:r>
      <w:r>
        <w:rPr>
          <w:rStyle w:val="VerbatimChar"/>
        </w:rPr>
        <w:t xml:space="preserve">     +--ro shelved-alarms {alarm-shelving}?</w:t>
      </w:r>
      <w:r>
        <w:br/>
      </w:r>
      <w:r>
        <w:rPr>
          <w:rStyle w:val="VerbatimChar"/>
        </w:rPr>
        <w:t xml:space="preserve">     |  ...</w:t>
      </w:r>
      <w:r>
        <w:br/>
      </w:r>
      <w:r>
        <w:rPr>
          <w:rStyle w:val="VerbatimChar"/>
        </w:rPr>
        <w:t xml:space="preserve">     +--rw alarm-profile* [alarm-type-id alarm-type-qualifier-match resource] {alarm-profile}?</w:t>
      </w:r>
      <w:r>
        <w:br/>
      </w:r>
      <w:r>
        <w:rPr>
          <w:rStyle w:val="VerbatimChar"/>
        </w:rPr>
        <w:t xml:space="preserve">        ...</w:t>
      </w:r>
    </w:p>
    <w:p>
      <w:pPr>
        <w:pStyle w:val="FirstParagraph"/>
      </w:pPr>
      <w:r>
        <w:t xml:space="preserve">Although it would be possible to define a set of abstract alarm type identities</w:t>
      </w:r>
      <w:r>
        <w:t xml:space="preserve"> </w:t>
      </w:r>
      <w:r>
        <w:t xml:space="preserve">according to X.733 and X.736 event types, this would be problematic, if the</w:t>
      </w:r>
      <w:r>
        <w:t xml:space="preserve"> </w:t>
      </w:r>
      <w:r>
        <w:t xml:space="preserve">hard-coded categorization does not match the operator’s own requirements and</w:t>
      </w:r>
      <w:r>
        <w:t xml:space="preserve"> </w:t>
      </w:r>
      <w:r>
        <w:t xml:space="preserve">would not subsequently be able to be modified by operators. The example below</w:t>
      </w:r>
      <w:r>
        <w:t xml:space="preserve"> </w:t>
      </w:r>
      <w:r>
        <w:t xml:space="preserve">shows a possible hierarchy based on X.733 event types for the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communications-alarm {</w:t>
      </w:r>
      <w:r>
        <w:br/>
      </w:r>
      <w:r>
        <w:rPr>
          <w:rStyle w:val="VerbatimChar"/>
        </w:rPr>
        <w:t xml:space="preserve">      base bbf-alt:ancp-alarm-type-id;</w:t>
      </w:r>
      <w:r>
        <w:br/>
      </w:r>
      <w:r>
        <w:rPr>
          <w:rStyle w:val="VerbatimChar"/>
        </w:rPr>
        <w:t xml:space="preserve">    }</w:t>
      </w:r>
      <w:r>
        <w:br/>
      </w:r>
      <w:r>
        <w:rPr>
          <w:rStyle w:val="VerbatimChar"/>
        </w:rPr>
        <w:t xml:space="preserve">    identity adjacency-failure {</w:t>
      </w:r>
      <w:r>
        <w:br/>
      </w:r>
      <w:r>
        <w:rPr>
          <w:rStyle w:val="VerbatimChar"/>
        </w:rPr>
        <w:t xml:space="preserve">      base bbf-ancp:communications-alarm;</w:t>
      </w:r>
      <w:r>
        <w:br/>
      </w:r>
      <w:r>
        <w:rPr>
          <w:rStyle w:val="VerbatimChar"/>
        </w:rPr>
        <w:t xml:space="preserve">    }</w:t>
      </w:r>
    </w:p>
    <w:p>
      <w:pPr>
        <w:pStyle w:val="FirstParagraph"/>
      </w:pPr>
      <w:r>
        <w:t xml:space="preserve">Therefore, when defining new alarm type identifiers, BBF YANG data models SHOULD NOT</w:t>
      </w:r>
      <w:r>
        <w:t xml:space="preserve"> </w:t>
      </w:r>
      <w:r>
        <w:t xml:space="preserve">define these alarm type identifiers within a fixed hierarchy of alarm types as shown</w:t>
      </w:r>
      <w:r>
        <w:t xml:space="preserve"> </w:t>
      </w:r>
      <w:r>
        <w:t xml:space="preserve">above, but implement the module ietf-alarms-x733 to support the explicit mapping of</w:t>
      </w:r>
      <w:r>
        <w:t xml:space="preserve"> </w:t>
      </w:r>
      <w:r>
        <w:t xml:space="preserve">alarm types to event types and probable cause. The example below shows the preferred</w:t>
      </w:r>
      <w:r>
        <w:t xml:space="preserve"> </w:t>
      </w:r>
      <w:r>
        <w:t xml:space="preserve">hierarchy as implemented for the BBF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adjacency-failure {</w:t>
      </w:r>
      <w:r>
        <w:br/>
      </w:r>
      <w:r>
        <w:rPr>
          <w:rStyle w:val="VerbatimChar"/>
        </w:rPr>
        <w:t xml:space="preserve">       base bbf-alt:ancp-alarm-type-id;</w:t>
      </w:r>
      <w:r>
        <w:br/>
      </w:r>
      <w:r>
        <w:rPr>
          <w:rStyle w:val="VerbatimChar"/>
        </w:rPr>
        <w:t xml:space="preserve">     }</w:t>
      </w:r>
    </w:p>
    <w:p>
      <w:pPr>
        <w:pStyle w:val="Heading2"/>
      </w:pPr>
      <w:bookmarkStart w:id="141" w:name="_ef961dcbd222be4a71b0d38d8a9359ce47fdbb6"/>
      <w:r>
        <w:t xml:space="preserve">BBF Deviation Guidelines</w:t>
      </w:r>
      <w:bookmarkEnd w:id="141"/>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p>
      <w:pPr>
        <w:pStyle w:val="Heading3"/>
      </w:pPr>
      <w:bookmarkStart w:id="142" w:name="_f8cf1fdc9f14b812b434f9ccffc86e855003c41"/>
      <w:r>
        <w:t xml:space="preserve">Types of Deviations</w:t>
      </w:r>
      <w:bookmarkEnd w:id="142"/>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43"/>
        </w:numPr>
      </w:pPr>
      <w:r>
        <w:t xml:space="preserve">not-supported</w:t>
      </w:r>
    </w:p>
    <w:p>
      <w:pPr>
        <w:pStyle w:val="Compact"/>
        <w:numPr>
          <w:ilvl w:val="1"/>
          <w:numId w:val="1044"/>
        </w:numPr>
      </w:pPr>
      <w:r>
        <w:t xml:space="preserve">Indicates the target node is not implemented by the server.</w:t>
      </w:r>
    </w:p>
    <w:p>
      <w:pPr>
        <w:pStyle w:val="Compact"/>
        <w:numPr>
          <w:ilvl w:val="0"/>
          <w:numId w:val="1043"/>
        </w:numPr>
      </w:pPr>
      <w:r>
        <w:t xml:space="preserve">add</w:t>
      </w:r>
    </w:p>
    <w:p>
      <w:pPr>
        <w:pStyle w:val="Compact"/>
        <w:numPr>
          <w:ilvl w:val="1"/>
          <w:numId w:val="1045"/>
        </w:numPr>
      </w:pPr>
      <w:r>
        <w:t xml:space="preserve">Adds properties to the target node so long as they do not already exist.</w:t>
      </w:r>
    </w:p>
    <w:p>
      <w:pPr>
        <w:pStyle w:val="Compact"/>
        <w:numPr>
          <w:ilvl w:val="0"/>
          <w:numId w:val="1043"/>
        </w:numPr>
      </w:pPr>
      <w:r>
        <w:t xml:space="preserve">replace</w:t>
      </w:r>
    </w:p>
    <w:p>
      <w:pPr>
        <w:pStyle w:val="Compact"/>
        <w:numPr>
          <w:ilvl w:val="1"/>
          <w:numId w:val="1046"/>
        </w:numPr>
      </w:pPr>
      <w:r>
        <w:t xml:space="preserve">Replaces properties of the target node so long as they already exist.</w:t>
      </w:r>
    </w:p>
    <w:p>
      <w:pPr>
        <w:pStyle w:val="Compact"/>
        <w:numPr>
          <w:ilvl w:val="0"/>
          <w:numId w:val="1043"/>
        </w:numPr>
      </w:pPr>
      <w:r>
        <w:t xml:space="preserve">delete</w:t>
      </w:r>
    </w:p>
    <w:p>
      <w:pPr>
        <w:pStyle w:val="Compact"/>
        <w:numPr>
          <w:ilvl w:val="1"/>
          <w:numId w:val="1047"/>
        </w:numPr>
      </w:pPr>
      <w:r>
        <w:t xml:space="preserve">Deletes existing properties of the target node.</w:t>
      </w:r>
    </w:p>
    <w:p>
      <w:pPr>
        <w:pStyle w:val="Heading3"/>
      </w:pPr>
      <w:bookmarkStart w:id="143" w:name="_6e3536ea2575906b5eb617b1d807356ba068bd9"/>
      <w:r>
        <w:t xml:space="preserve">DEV-1: not-supported</w:t>
      </w:r>
      <w:bookmarkEnd w:id="143"/>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w:t>
      </w:r>
    </w:p>
    <w:p>
      <w:pPr>
        <w:pStyle w:val="Heading3"/>
      </w:pPr>
      <w:bookmarkStart w:id="144" w:name="_a8e9328cd4a7f8287ac2b23ea63c2211f18467e"/>
      <w:r>
        <w:t xml:space="preserve">DEV-2: add - Number of Elements</w:t>
      </w:r>
      <w:bookmarkEnd w:id="144"/>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p>
      <w:pPr>
        <w:pStyle w:val="Heading3"/>
      </w:pPr>
      <w:bookmarkStart w:id="145" w:name="_460c3baa5153b7e7e8ebb87befbc074bb3a08b7"/>
      <w:r>
        <w:t xml:space="preserve">DEV-3: add -</w:t>
      </w:r>
      <w:r>
        <w:t xml:space="preserve"> </w:t>
      </w:r>
      <w:r>
        <w:t xml:space="preserve">‘must’</w:t>
      </w:r>
      <w:r>
        <w:t xml:space="preserve"> </w:t>
      </w:r>
      <w:r>
        <w:t xml:space="preserve">Constraints</w:t>
      </w:r>
      <w:bookmarkEnd w:id="145"/>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_f831072a942d0ab6406c7261ba9cac8a33a6879">
        <w:r>
          <w:rPr>
            <w:rStyle w:val="Hyperlink"/>
            <w:i/>
            <w:iCs/>
          </w:rPr>
          <w:t xml:space="preserve">[3]</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p>
      <w:pPr>
        <w:pStyle w:val="Heading3"/>
      </w:pPr>
      <w:bookmarkStart w:id="146" w:name="_e76f1e216ccb0d3e6c0d07a8a8e046aad336dd6"/>
      <w:r>
        <w:t xml:space="preserve">DEV-4: replace - Data Type</w:t>
      </w:r>
      <w:bookmarkEnd w:id="146"/>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p>
      <w:pPr>
        <w:pStyle w:val="Heading3"/>
      </w:pPr>
      <w:bookmarkStart w:id="147" w:name="_028042156d2f316b63ae640d7d981b27ae4b00b"/>
      <w:r>
        <w:t xml:space="preserve">DEV-5: replace - Number of Elements</w:t>
      </w:r>
      <w:bookmarkEnd w:id="147"/>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p>
      <w:pPr>
        <w:pStyle w:val="Heading3"/>
      </w:pPr>
      <w:bookmarkStart w:id="148" w:name="_f4a2c6b0262bc2c38976be19bfd03790aad8153"/>
      <w:r>
        <w:t xml:space="preserve">DEV-6: delete</w:t>
      </w:r>
      <w:bookmarkEnd w:id="148"/>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p>
      <w:pPr>
        <w:pStyle w:val="Heading3"/>
      </w:pPr>
      <w:bookmarkStart w:id="149" w:name="_1c7e76447454d31558b243ea8021d683c056863"/>
      <w:r>
        <w:t xml:space="preserve">DEV-7: add - Mandatory leaf</w:t>
      </w:r>
      <w:bookmarkEnd w:id="149"/>
    </w:p>
    <w:p>
      <w:pPr>
        <w:pStyle w:val="FirstParagraph"/>
      </w:pPr>
      <w:r>
        <w:t xml:space="preserve">The deviate</w:t>
      </w:r>
      <w:r>
        <w:t xml:space="preserve"> </w:t>
      </w:r>
      <w:r>
        <w:t xml:space="preserve">‘add’</w:t>
      </w:r>
      <w:r>
        <w:t xml:space="preserve"> </w:t>
      </w:r>
      <w:r>
        <w:t xml:space="preserve">argument MAY be used to make an optional leaf mandatory.</w:t>
      </w:r>
    </w:p>
    <w:p>
      <w:pPr>
        <w:pStyle w:val="BodyText"/>
      </w:pPr>
      <w:r>
        <w:t xml:space="preserve">A leaf being defined without a</w:t>
      </w:r>
      <w:r>
        <w:t xml:space="preserve"> </w:t>
      </w:r>
      <w:r>
        <w:t xml:space="preserve">‘mandatory true’</w:t>
      </w:r>
      <w:r>
        <w:t xml:space="preserve"> </w:t>
      </w:r>
      <w:r>
        <w:t xml:space="preserve">statement is by definition optional. Making the leaf mandatory is accomplished by adding a</w:t>
      </w:r>
      <w:r>
        <w:t xml:space="preserve"> </w:t>
      </w:r>
      <w:r>
        <w:t xml:space="preserve">‘mandatory true’</w:t>
      </w:r>
      <w:r>
        <w:t xml:space="preserve"> </w:t>
      </w:r>
      <w:r>
        <w:t xml:space="preserve">statement where this was previously not defined. For example, take a leafref to an interface:</w:t>
      </w:r>
    </w:p>
    <w:p>
      <w:pPr>
        <w:pStyle w:val="SourceCode"/>
      </w:pPr>
      <w:r>
        <w:rPr>
          <w:rStyle w:val="VerbatimChar"/>
        </w:rPr>
        <w:t xml:space="preserve">  leaf interface {</w:t>
      </w:r>
      <w:r>
        <w:br/>
      </w:r>
      <w:r>
        <w:rPr>
          <w:rStyle w:val="VerbatimChar"/>
        </w:rPr>
        <w:t xml:space="preserve">    type if:interface-ref;</w:t>
      </w:r>
      <w:r>
        <w:br/>
      </w:r>
      <w:r>
        <w:rPr>
          <w:rStyle w:val="VerbatimChar"/>
        </w:rPr>
        <w:t xml:space="preserve">    description</w:t>
      </w:r>
      <w:r>
        <w:br/>
      </w:r>
      <w:r>
        <w:rPr>
          <w:rStyle w:val="VerbatimChar"/>
        </w:rPr>
        <w:t xml:space="preserve">      "References the lower-layer interface.";</w:t>
      </w:r>
      <w:r>
        <w:br/>
      </w:r>
      <w:r>
        <w:rPr>
          <w:rStyle w:val="VerbatimChar"/>
        </w:rPr>
        <w:t xml:space="preserve">  }</w:t>
      </w:r>
    </w:p>
    <w:p>
      <w:pPr>
        <w:pStyle w:val="FirstParagraph"/>
      </w:pPr>
      <w:r>
        <w:t xml:space="preserve">This leaf can be made mandatory by the following deviation</w:t>
      </w:r>
    </w:p>
    <w:p>
      <w:pPr>
        <w:pStyle w:val="SourceCode"/>
      </w:pPr>
      <w:r>
        <w:rPr>
          <w:rStyle w:val="VerbatimChar"/>
        </w:rPr>
        <w:t xml:space="preserve">  deviation "interface" {</w:t>
      </w:r>
      <w:r>
        <w:br/>
      </w:r>
      <w:r>
        <w:rPr>
          <w:rStyle w:val="VerbatimChar"/>
        </w:rPr>
        <w:t xml:space="preserve">    deviate add {</w:t>
      </w:r>
      <w:r>
        <w:br/>
      </w:r>
      <w:r>
        <w:rPr>
          <w:rStyle w:val="VerbatimChar"/>
        </w:rPr>
        <w:t xml:space="preserve">      mandatory true;</w:t>
      </w:r>
      <w:r>
        <w:br/>
      </w:r>
      <w:r>
        <w:rPr>
          <w:rStyle w:val="VerbatimChar"/>
        </w:rPr>
        <w:t xml:space="preserve">    }</w:t>
      </w:r>
      <w:r>
        <w:br/>
      </w:r>
      <w:r>
        <w:rPr>
          <w:rStyle w:val="VerbatimChar"/>
        </w:rPr>
        <w:t xml:space="preserve">  }</w:t>
      </w:r>
    </w:p>
    <w:p>
      <w:pPr>
        <w:pStyle w:val="FirstParagraph"/>
      </w:pPr>
      <w:r>
        <w:t xml:space="preserve">Note that this is similar to the deviation of introducing a min-elements to a list or leaf-list that also makes one or more elements in the list mandatory.</w:t>
      </w:r>
    </w:p>
    <w:p>
      <w:pPr>
        <w:pStyle w:val="Heading2"/>
      </w:pPr>
      <w:bookmarkStart w:id="150" w:name="_1db2b8ff96e2758feaefb7a1a6d4a74b0764e70"/>
      <w:r>
        <w:t xml:space="preserve">BBF Guidelines for</w:t>
      </w:r>
      <w:r>
        <w:t xml:space="preserve"> </w:t>
      </w:r>
      <w:r>
        <w:t xml:space="preserve">‘units’</w:t>
      </w:r>
      <w:r>
        <w:t xml:space="preserve"> </w:t>
      </w:r>
      <w:r>
        <w:t xml:space="preserve">Statements</w:t>
      </w:r>
      <w:bookmarkEnd w:id="150"/>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48"/>
        </w:numPr>
      </w:pPr>
      <w:r>
        <w:t xml:space="preserve">IEEE Std. 260.1</w:t>
      </w:r>
    </w:p>
    <w:p>
      <w:pPr>
        <w:pStyle w:val="Compact"/>
        <w:numPr>
          <w:ilvl w:val="0"/>
          <w:numId w:val="1048"/>
        </w:numPr>
      </w:pPr>
      <w:hyperlink r:id="rId151">
        <w:r>
          <w:rPr>
            <w:rStyle w:val="Hyperlink"/>
          </w:rPr>
          <w:t xml:space="preserve">NIST Special Publication 811</w:t>
        </w:r>
      </w:hyperlink>
    </w:p>
    <w:p>
      <w:pPr>
        <w:pStyle w:val="Heading3"/>
      </w:pPr>
      <w:bookmarkStart w:id="152" w:name="_edac0ef63beaddeeec10e2733c72da79437c1b4"/>
      <w:r>
        <w:t xml:space="preserve">Terminology</w:t>
      </w:r>
      <w:bookmarkEnd w:id="152"/>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p>
      <w:pPr>
        <w:pStyle w:val="Heading3"/>
      </w:pPr>
      <w:bookmarkStart w:id="153" w:name="_a2a61051f9da7c383f97a3d1dd06c87ab02ef11"/>
      <w:r>
        <w:t xml:space="preserve">UNITS-1: Unit vs Symbol</w:t>
      </w:r>
      <w:bookmarkEnd w:id="153"/>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p>
      <w:pPr>
        <w:pStyle w:val="Heading3"/>
      </w:pPr>
      <w:bookmarkStart w:id="154" w:name="_01be8e6e58cedc8c122ae00fbdb5681301163e5"/>
      <w:r>
        <w:t xml:space="preserve">UNITS-2: Plural Form</w:t>
      </w:r>
      <w:bookmarkEnd w:id="154"/>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p>
      <w:pPr>
        <w:pStyle w:val="Heading3"/>
      </w:pPr>
      <w:bookmarkStart w:id="155" w:name="_806aa7fd587c26361e4711f6421b7166ef9bfbd"/>
      <w:r>
        <w:t xml:space="preserve">UNITS-3: Base vs Derived</w:t>
      </w:r>
      <w:bookmarkEnd w:id="155"/>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p>
      <w:pPr>
        <w:pStyle w:val="Heading3"/>
      </w:pPr>
      <w:bookmarkStart w:id="156" w:name="_7d39381540a888cd3d05d30494a1fdb8aeb47e4"/>
      <w:r>
        <w:t xml:space="preserve">UNITS-4: Memory</w:t>
      </w:r>
      <w:bookmarkEnd w:id="156"/>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p>
      <w:pPr>
        <w:pStyle w:val="Heading3"/>
      </w:pPr>
      <w:bookmarkStart w:id="157" w:name="_97ae81b6c2cd8dffa519d6e59efc5c294be212e"/>
      <w:r>
        <w:t xml:space="preserve">UNITS-5: Unit Combinations</w:t>
      </w:r>
      <w:bookmarkEnd w:id="157"/>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p>
      <w:pPr>
        <w:pStyle w:val="Heading3"/>
      </w:pPr>
      <w:bookmarkStart w:id="158" w:name="_c6706faa2619b2ff3a8fbefc1f2474b6bf7b771"/>
      <w:r>
        <w:t xml:space="preserve">UNITS-6: Equivalent Units</w:t>
      </w:r>
      <w:bookmarkEnd w:id="158"/>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p>
      <w:pPr>
        <w:pStyle w:val="Heading3"/>
      </w:pPr>
      <w:bookmarkStart w:id="159" w:name="_f78378e751648b95f634015fc5562494143b14f"/>
      <w:r>
        <w:t xml:space="preserve">UNITS-7: Use of decimal64</w:t>
      </w:r>
      <w:bookmarkEnd w:id="159"/>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p>
      <w:pPr>
        <w:pStyle w:val="Heading3"/>
      </w:pPr>
      <w:bookmarkStart w:id="160" w:name="_5098fe57461ddfafaed3b03a481ce8fb3900ec5"/>
      <w:r>
        <w:t xml:space="preserve">UNITS-8: Exceptions</w:t>
      </w:r>
      <w:bookmarkEnd w:id="160"/>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p>
      <w:pPr>
        <w:pStyle w:val="Heading3"/>
      </w:pPr>
      <w:bookmarkStart w:id="161" w:name="_04bb541aae3b3cf33164758e7fb4852ff067084"/>
      <w:r>
        <w:t xml:space="preserve">UNITS-9: Frames vs Packets vs Messages</w:t>
      </w:r>
      <w:bookmarkEnd w:id="161"/>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49"/>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49"/>
        </w:numPr>
      </w:pPr>
      <w:r>
        <w:t xml:space="preserve">use</w:t>
      </w:r>
      <w:r>
        <w:t xml:space="preserve"> </w:t>
      </w:r>
      <w:r>
        <w:t xml:space="preserve">“packets”</w:t>
      </w:r>
      <w:r>
        <w:t xml:space="preserve"> </w:t>
      </w:r>
      <w:r>
        <w:t xml:space="preserve">when referring to layer 3, e.g., IP packets</w:t>
      </w:r>
    </w:p>
    <w:p>
      <w:pPr>
        <w:pStyle w:val="Compact"/>
        <w:numPr>
          <w:ilvl w:val="0"/>
          <w:numId w:val="1049"/>
        </w:numPr>
      </w:pPr>
      <w:r>
        <w:t xml:space="preserve">use</w:t>
      </w:r>
      <w:r>
        <w:t xml:space="preserve"> </w:t>
      </w:r>
      <w:r>
        <w:t xml:space="preserve">“messages”</w:t>
      </w:r>
      <w:r>
        <w:t xml:space="preserve"> </w:t>
      </w:r>
      <w:r>
        <w:t xml:space="preserve">when referring to protocols, e.g., DHCP messages, IGMP messages, etc.</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6" Target="https://datatracker.ietf.org/doc/html/rfc7950#section-11" TargetMode="External" /><Relationship Type="http://schemas.openxmlformats.org/officeDocument/2006/relationships/hyperlink" Id="rId132" Target="https://datatracker.ietf.org/doc/html/rfc7950#section-14" TargetMode="External" /><Relationship Type="http://schemas.openxmlformats.org/officeDocument/2006/relationships/hyperlink" Id="rId76" Target="https://datatracker.ietf.org/doc/html/rfc7950#section-5.1" TargetMode="External" /><Relationship Type="http://schemas.openxmlformats.org/officeDocument/2006/relationships/hyperlink" Id="rId58" Target="https://datatracker.ietf.org/doc/html/rfc7950#section-5.2" TargetMode="External" /><Relationship Type="http://schemas.openxmlformats.org/officeDocument/2006/relationships/hyperlink" Id="rId86" Target="https://datatracker.ietf.org/doc/html/rfc7950#section-6" TargetMode="External" /><Relationship Type="http://schemas.openxmlformats.org/officeDocument/2006/relationships/hyperlink" Id="rId60" Target="https://datatracker.ietf.org/doc/html/rfc7950#section-6.1.3" TargetMode="External" /><Relationship Type="http://schemas.openxmlformats.org/officeDocument/2006/relationships/hyperlink" Id="rId127" Target="https://datatracker.ietf.org/doc/html/rfc7950#section-7.21.2" TargetMode="External" /><Relationship Type="http://schemas.openxmlformats.org/officeDocument/2006/relationships/hyperlink" Id="rId91" Target="https://datatracker.ietf.org/doc/html/rfc7950#section-7.5.4" TargetMode="External" /><Relationship Type="http://schemas.openxmlformats.org/officeDocument/2006/relationships/hyperlink" Id="rId89" Target="https://datatracker.ietf.org/doc/html/rfc7950#section-7.5.4.1" TargetMode="External" /><Relationship Type="http://schemas.openxmlformats.org/officeDocument/2006/relationships/hyperlink" Id="rId121" Target="https://datatracker.ietf.org/doc/html/rfc7950#section-7.9.3" TargetMode="External" /><Relationship Type="http://schemas.openxmlformats.org/officeDocument/2006/relationships/hyperlink" Id="rId122" Target="https://datatracker.ietf.org/doc/html/rfc7950#section-9.11" TargetMode="External" /><Relationship Type="http://schemas.openxmlformats.org/officeDocument/2006/relationships/hyperlink" Id="rId133" Target="https://datatracker.ietf.org/doc/html/rfc8407#appendix-B" TargetMode="External" /><Relationship Type="http://schemas.openxmlformats.org/officeDocument/2006/relationships/hyperlink" Id="rId49" Target="https://datatracker.ietf.org/doc/html/rfc8407#section-2.2" TargetMode="External" /><Relationship Type="http://schemas.openxmlformats.org/officeDocument/2006/relationships/hyperlink" Id="rId51" Target="https://datatracker.ietf.org/doc/html/rfc8407#section-3.10" TargetMode="External" /><Relationship Type="http://schemas.openxmlformats.org/officeDocument/2006/relationships/hyperlink" Id="rId94" Target="https://datatracker.ietf.org/doc/html/rfc8407#section-3.6" TargetMode="External" /><Relationship Type="http://schemas.openxmlformats.org/officeDocument/2006/relationships/hyperlink" Id="rId56" Target="https://datatracker.ietf.org/doc/html/rfc8407#section-4" TargetMode="External" /><Relationship Type="http://schemas.openxmlformats.org/officeDocument/2006/relationships/hyperlink" Id="rId62" Target="https://datatracker.ietf.org/doc/html/rfc8407#section-4.1" TargetMode="External" /><Relationship Type="http://schemas.openxmlformats.org/officeDocument/2006/relationships/hyperlink" Id="rId96" Target="https://datatracker.ietf.org/doc/html/rfc8407#section-4.13" TargetMode="External" /><Relationship Type="http://schemas.openxmlformats.org/officeDocument/2006/relationships/hyperlink" Id="rId82" Target="https://datatracker.ietf.org/doc/html/rfc8407#section-4.19.1" TargetMode="External" /><Relationship Type="http://schemas.openxmlformats.org/officeDocument/2006/relationships/hyperlink" Id="rId74" Target="https://datatracker.ietf.org/doc/html/rfc8407#section-4.2" TargetMode="External" /><Relationship Type="http://schemas.openxmlformats.org/officeDocument/2006/relationships/hyperlink" Id="rId78" Target="https://datatracker.ietf.org/doc/html/rfc8407#section-4.3.1" TargetMode="External" /><Relationship Type="http://schemas.openxmlformats.org/officeDocument/2006/relationships/hyperlink" Id="rId80" Target="https://datatracker.ietf.org/doc/html/rfc8407#section-4.5" TargetMode="External" /><Relationship Type="http://schemas.openxmlformats.org/officeDocument/2006/relationships/hyperlink" Id="rId84" Target="https://datatracker.ietf.org/doc/html/rfc8407#section-4.7" TargetMode="External" /><Relationship Type="http://schemas.openxmlformats.org/officeDocument/2006/relationships/hyperlink" Id="rId64" Target="https://datatracker.ietf.org/doc/html/rfc8407#section-4.8" TargetMode="External" /><Relationship Type="http://schemas.openxmlformats.org/officeDocument/2006/relationships/hyperlink" Id="rId72" Target="https://datatracker.ietf.org/doc/html/rfc8407#section-4.9" TargetMode="External" /><Relationship Type="http://schemas.openxmlformats.org/officeDocument/2006/relationships/hyperlink" Id="rId53" Target="https://github.com/mbj4668/pyang" TargetMode="External" /><Relationship Type="http://schemas.openxmlformats.org/officeDocument/2006/relationships/hyperlink" Id="rId54" Target="https://hub.docker.com/r/broadbandforum/yangtools" TargetMode="External" /><Relationship Type="http://schemas.openxmlformats.org/officeDocument/2006/relationships/hyperlink" Id="rId52" Target="https://pypi.org/" TargetMode="External" /><Relationship Type="http://schemas.openxmlformats.org/officeDocument/2006/relationships/hyperlink" Id="rId46" Target="https://wiki.broadband-forum.org/display/BBF/OD-360%3A+YANG+Module+Template" TargetMode="External" /><Relationship Type="http://schemas.openxmlformats.org/officeDocument/2006/relationships/hyperlink" Id="rId13" Target="https://www.broadband-forum.org/download/OD-360_Amendment-1.pdf" TargetMode="External" /><Relationship Type="http://schemas.openxmlformats.org/officeDocument/2006/relationships/hyperlink" Id="rId14" Target="https://www.broadband-forum.org/download/OD-360_Amendment-2.pdf" TargetMode="External" /><Relationship Type="http://schemas.openxmlformats.org/officeDocument/2006/relationships/hyperlink" Id="rId15" Target="https://www.broadband-forum.org/download/OD-360_Amendment-3.pdf" TargetMode="External" /><Relationship Type="http://schemas.openxmlformats.org/officeDocument/2006/relationships/hyperlink" Id="rId12" Target="https://www.broadband-forum.org/download/OD-360_Issue-1.pdf" TargetMode="External" /><Relationship Type="http://schemas.openxmlformats.org/officeDocument/2006/relationships/hyperlink" Id="rId22" Target="https://www.broadband-forum.org/download/TR-383_Amendment-8.pdf" TargetMode="External" /><Relationship Type="http://schemas.openxmlformats.org/officeDocument/2006/relationships/hyperlink" Id="rId36" Target="https://www.itu.int/rec/T-REC-X.733/en" TargetMode="External" /><Relationship Type="http://schemas.openxmlformats.org/officeDocument/2006/relationships/hyperlink" Id="rId38" Target="https://www.itu.int/rec/T-REC-X.736/en" TargetMode="External" /><Relationship Type="http://schemas.openxmlformats.org/officeDocument/2006/relationships/hyperlink" Id="rId151" Target="https://www.nist.gov/pml/special-publication-811" TargetMode="External" /><Relationship Type="http://schemas.openxmlformats.org/officeDocument/2006/relationships/hyperlink" Id="rId24" Target="https://www.rfc-editor.org/rfc/rfc2119.html" TargetMode="External" /><Relationship Type="http://schemas.openxmlformats.org/officeDocument/2006/relationships/hyperlink" Id="rId26" Target="https://www.rfc-editor.org/rfc/rfc7223.html" TargetMode="External" /><Relationship Type="http://schemas.openxmlformats.org/officeDocument/2006/relationships/hyperlink" Id="rId28" Target="https://www.rfc-editor.org/rfc/rfc7950.html" TargetMode="External" /><Relationship Type="http://schemas.openxmlformats.org/officeDocument/2006/relationships/hyperlink" Id="rId30" Target="https://www.rfc-editor.org/rfc/rfc8174.html" TargetMode="External" /><Relationship Type="http://schemas.openxmlformats.org/officeDocument/2006/relationships/hyperlink" Id="rId32" Target="https://www.rfc-editor.org/rfc/rfc8407.html" TargetMode="External" /><Relationship Type="http://schemas.openxmlformats.org/officeDocument/2006/relationships/hyperlink" Id="rId34" Target="https://www.rfc-editor.org/rfc/rfc8632.html" TargetMode="External" /><Relationship Type="http://schemas.openxmlformats.org/officeDocument/2006/relationships/hyperlink" Id="rId16"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26" Target="https://datatracker.ietf.org/doc/html/rfc7950#section-11" TargetMode="External" /><Relationship Type="http://schemas.openxmlformats.org/officeDocument/2006/relationships/hyperlink" Id="rId132" Target="https://datatracker.ietf.org/doc/html/rfc7950#section-14" TargetMode="External" /><Relationship Type="http://schemas.openxmlformats.org/officeDocument/2006/relationships/hyperlink" Id="rId76" Target="https://datatracker.ietf.org/doc/html/rfc7950#section-5.1" TargetMode="External" /><Relationship Type="http://schemas.openxmlformats.org/officeDocument/2006/relationships/hyperlink" Id="rId58" Target="https://datatracker.ietf.org/doc/html/rfc7950#section-5.2" TargetMode="External" /><Relationship Type="http://schemas.openxmlformats.org/officeDocument/2006/relationships/hyperlink" Id="rId86" Target="https://datatracker.ietf.org/doc/html/rfc7950#section-6" TargetMode="External" /><Relationship Type="http://schemas.openxmlformats.org/officeDocument/2006/relationships/hyperlink" Id="rId60" Target="https://datatracker.ietf.org/doc/html/rfc7950#section-6.1.3" TargetMode="External" /><Relationship Type="http://schemas.openxmlformats.org/officeDocument/2006/relationships/hyperlink" Id="rId127" Target="https://datatracker.ietf.org/doc/html/rfc7950#section-7.21.2" TargetMode="External" /><Relationship Type="http://schemas.openxmlformats.org/officeDocument/2006/relationships/hyperlink" Id="rId91" Target="https://datatracker.ietf.org/doc/html/rfc7950#section-7.5.4" TargetMode="External" /><Relationship Type="http://schemas.openxmlformats.org/officeDocument/2006/relationships/hyperlink" Id="rId89" Target="https://datatracker.ietf.org/doc/html/rfc7950#section-7.5.4.1" TargetMode="External" /><Relationship Type="http://schemas.openxmlformats.org/officeDocument/2006/relationships/hyperlink" Id="rId121" Target="https://datatracker.ietf.org/doc/html/rfc7950#section-7.9.3" TargetMode="External" /><Relationship Type="http://schemas.openxmlformats.org/officeDocument/2006/relationships/hyperlink" Id="rId122" Target="https://datatracker.ietf.org/doc/html/rfc7950#section-9.11" TargetMode="External" /><Relationship Type="http://schemas.openxmlformats.org/officeDocument/2006/relationships/hyperlink" Id="rId133" Target="https://datatracker.ietf.org/doc/html/rfc8407#appendix-B" TargetMode="External" /><Relationship Type="http://schemas.openxmlformats.org/officeDocument/2006/relationships/hyperlink" Id="rId49" Target="https://datatracker.ietf.org/doc/html/rfc8407#section-2.2" TargetMode="External" /><Relationship Type="http://schemas.openxmlformats.org/officeDocument/2006/relationships/hyperlink" Id="rId51" Target="https://datatracker.ietf.org/doc/html/rfc8407#section-3.10" TargetMode="External" /><Relationship Type="http://schemas.openxmlformats.org/officeDocument/2006/relationships/hyperlink" Id="rId94" Target="https://datatracker.ietf.org/doc/html/rfc8407#section-3.6" TargetMode="External" /><Relationship Type="http://schemas.openxmlformats.org/officeDocument/2006/relationships/hyperlink" Id="rId56" Target="https://datatracker.ietf.org/doc/html/rfc8407#section-4" TargetMode="External" /><Relationship Type="http://schemas.openxmlformats.org/officeDocument/2006/relationships/hyperlink" Id="rId62" Target="https://datatracker.ietf.org/doc/html/rfc8407#section-4.1" TargetMode="External" /><Relationship Type="http://schemas.openxmlformats.org/officeDocument/2006/relationships/hyperlink" Id="rId96" Target="https://datatracker.ietf.org/doc/html/rfc8407#section-4.13" TargetMode="External" /><Relationship Type="http://schemas.openxmlformats.org/officeDocument/2006/relationships/hyperlink" Id="rId82" Target="https://datatracker.ietf.org/doc/html/rfc8407#section-4.19.1" TargetMode="External" /><Relationship Type="http://schemas.openxmlformats.org/officeDocument/2006/relationships/hyperlink" Id="rId74" Target="https://datatracker.ietf.org/doc/html/rfc8407#section-4.2" TargetMode="External" /><Relationship Type="http://schemas.openxmlformats.org/officeDocument/2006/relationships/hyperlink" Id="rId78" Target="https://datatracker.ietf.org/doc/html/rfc8407#section-4.3.1" TargetMode="External" /><Relationship Type="http://schemas.openxmlformats.org/officeDocument/2006/relationships/hyperlink" Id="rId80" Target="https://datatracker.ietf.org/doc/html/rfc8407#section-4.5" TargetMode="External" /><Relationship Type="http://schemas.openxmlformats.org/officeDocument/2006/relationships/hyperlink" Id="rId84" Target="https://datatracker.ietf.org/doc/html/rfc8407#section-4.7" TargetMode="External" /><Relationship Type="http://schemas.openxmlformats.org/officeDocument/2006/relationships/hyperlink" Id="rId64" Target="https://datatracker.ietf.org/doc/html/rfc8407#section-4.8" TargetMode="External" /><Relationship Type="http://schemas.openxmlformats.org/officeDocument/2006/relationships/hyperlink" Id="rId72" Target="https://datatracker.ietf.org/doc/html/rfc8407#section-4.9" TargetMode="External" /><Relationship Type="http://schemas.openxmlformats.org/officeDocument/2006/relationships/hyperlink" Id="rId53" Target="https://github.com/mbj4668/pyang" TargetMode="External" /><Relationship Type="http://schemas.openxmlformats.org/officeDocument/2006/relationships/hyperlink" Id="rId54" Target="https://hub.docker.com/r/broadbandforum/yangtools" TargetMode="External" /><Relationship Type="http://schemas.openxmlformats.org/officeDocument/2006/relationships/hyperlink" Id="rId52" Target="https://pypi.org/" TargetMode="External" /><Relationship Type="http://schemas.openxmlformats.org/officeDocument/2006/relationships/hyperlink" Id="rId46" Target="https://wiki.broadband-forum.org/display/BBF/OD-360%3A+YANG+Module+Template" TargetMode="External" /><Relationship Type="http://schemas.openxmlformats.org/officeDocument/2006/relationships/hyperlink" Id="rId13" Target="https://www.broadband-forum.org/download/OD-360_Amendment-1.pdf" TargetMode="External" /><Relationship Type="http://schemas.openxmlformats.org/officeDocument/2006/relationships/hyperlink" Id="rId14" Target="https://www.broadband-forum.org/download/OD-360_Amendment-2.pdf" TargetMode="External" /><Relationship Type="http://schemas.openxmlformats.org/officeDocument/2006/relationships/hyperlink" Id="rId15" Target="https://www.broadband-forum.org/download/OD-360_Amendment-3.pdf" TargetMode="External" /><Relationship Type="http://schemas.openxmlformats.org/officeDocument/2006/relationships/hyperlink" Id="rId12" Target="https://www.broadband-forum.org/download/OD-360_Issue-1.pdf" TargetMode="External" /><Relationship Type="http://schemas.openxmlformats.org/officeDocument/2006/relationships/hyperlink" Id="rId22" Target="https://www.broadband-forum.org/download/TR-383_Amendment-8.pdf" TargetMode="External" /><Relationship Type="http://schemas.openxmlformats.org/officeDocument/2006/relationships/hyperlink" Id="rId36" Target="https://www.itu.int/rec/T-REC-X.733/en" TargetMode="External" /><Relationship Type="http://schemas.openxmlformats.org/officeDocument/2006/relationships/hyperlink" Id="rId38" Target="https://www.itu.int/rec/T-REC-X.736/en" TargetMode="External" /><Relationship Type="http://schemas.openxmlformats.org/officeDocument/2006/relationships/hyperlink" Id="rId151" Target="https://www.nist.gov/pml/special-publication-811" TargetMode="External" /><Relationship Type="http://schemas.openxmlformats.org/officeDocument/2006/relationships/hyperlink" Id="rId24" Target="https://www.rfc-editor.org/rfc/rfc2119.html" TargetMode="External" /><Relationship Type="http://schemas.openxmlformats.org/officeDocument/2006/relationships/hyperlink" Id="rId26" Target="https://www.rfc-editor.org/rfc/rfc7223.html" TargetMode="External" /><Relationship Type="http://schemas.openxmlformats.org/officeDocument/2006/relationships/hyperlink" Id="rId28" Target="https://www.rfc-editor.org/rfc/rfc7950.html" TargetMode="External" /><Relationship Type="http://schemas.openxmlformats.org/officeDocument/2006/relationships/hyperlink" Id="rId30" Target="https://www.rfc-editor.org/rfc/rfc8174.html" TargetMode="External" /><Relationship Type="http://schemas.openxmlformats.org/officeDocument/2006/relationships/hyperlink" Id="rId32" Target="https://www.rfc-editor.org/rfc/rfc8407.html" TargetMode="External" /><Relationship Type="http://schemas.openxmlformats.org/officeDocument/2006/relationships/hyperlink" Id="rId34" Target="https://www.rfc-editor.org/rfc/rfc8632.html" TargetMode="External" /><Relationship Type="http://schemas.openxmlformats.org/officeDocument/2006/relationships/hyperlink" Id="rId16"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dc:description/>
  <cp:keywords/>
  <dcterms:created xsi:type="dcterms:W3CDTF">2026-10-21T12:00:13Z</dcterms:created>
  <dcterms:modified xsi:type="dcterms:W3CDTF">2026-10-21T12:00:13Z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3</vt:lpwstr>
  </property>
  <property fmtid="{D5CDD505-2E9C-101B-9397-08002B2CF9AE}" pid="16" name="bbfMonth">
    <vt:lpwstr>February</vt:lpwstr>
  </property>
  <property fmtid="{D5CDD505-2E9C-101B-9397-08002B2CF9AE}" pid="17" name="bbfNumber">
    <vt:lpwstr>OD-360</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BBF YANG Best Current Practices</vt:lpwstr>
  </property>
  <property fmtid="{D5CDD505-2E9C-101B-9397-08002B2CF9AE}" pid="24" name="bbfType">
    <vt:lpwstr/>
  </property>
  <property fmtid="{D5CDD505-2E9C-101B-9397-08002B2CF9AE}" pid="25" name="bbfVersion">
    <vt:lpwstr>1 Amendment 3</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February 2026</vt:lpwstr>
  </property>
  <property fmtid="{D5CDD505-2E9C-101B-9397-08002B2CF9AE}" pid="34" name="dependsOn">
    <vt:lpwstr/>
  </property>
  <property fmtid="{D5CDD505-2E9C-101B-9397-08002B2CF9AE}" pid="35" name="description-meta">
    <vt:lpwstr>OD-360 – Broadband Forum YANG Modules: A set of YANG modules for managing access networks</vt:lpwstr>
  </property>
  <property fmtid="{D5CDD505-2E9C-101B-9397-08002B2CF9AE}" pid="36" name="doctitle">
    <vt:lpwstr>OD-360 – BBF YANG Best Current Practices</vt:lpwstr>
  </property>
  <property fmtid="{D5CDD505-2E9C-101B-9397-08002B2CF9AE}" pid="37" name="figPrefix">
    <vt:lpwstr/>
  </property>
  <property fmtid="{D5CDD505-2E9C-101B-9397-08002B2CF9AE}" pid="38" name="lastDelim">
    <vt:lpwstr> and </vt:lpwstr>
  </property>
  <property fmtid="{D5CDD505-2E9C-101B-9397-08002B2CF9AE}" pid="39" name="link-citations">
    <vt:lpwstr>True</vt:lpwstr>
  </property>
  <property fmtid="{D5CDD505-2E9C-101B-9397-08002B2CF9AE}" pid="40" name="linkReferences">
    <vt:lpwstr>True</vt:lpwstr>
  </property>
  <property fmtid="{D5CDD505-2E9C-101B-9397-08002B2CF9AE}" pid="41" name="lofTitle">
    <vt:lpwstr>List of Figures</vt:lpwstr>
  </property>
  <property fmtid="{D5CDD505-2E9C-101B-9397-08002B2CF9AE}" pid="42" name="lolTitle">
    <vt:lpwstr>List of Listings</vt:lpwstr>
  </property>
  <property fmtid="{D5CDD505-2E9C-101B-9397-08002B2CF9AE}" pid="43" name="lotTitle">
    <vt:lpwstr>List of Tables</vt:lpwstr>
  </property>
  <property fmtid="{D5CDD505-2E9C-101B-9397-08002B2CF9AE}" pid="44" name="nameInLink">
    <vt:lpwstr>True</vt:lpwstr>
  </property>
  <property fmtid="{D5CDD505-2E9C-101B-9397-08002B2CF9AE}" pid="45" name="notice">
    <vt:lpwstr>od</vt:lpwstr>
  </property>
  <property fmtid="{D5CDD505-2E9C-101B-9397-08002B2CF9AE}" pid="46" name="numberSections">
    <vt:lpwstr>False</vt:lpwstr>
  </property>
  <property fmtid="{D5CDD505-2E9C-101B-9397-08002B2CF9AE}" pid="47" name="pairDelim">
    <vt:lpwstr> and </vt:lpwstr>
  </property>
  <property fmtid="{D5CDD505-2E9C-101B-9397-08002B2CF9AE}" pid="48" name="project">
    <vt:lpwstr>Broadband Forum YANG Modules</vt:lpwstr>
  </property>
  <property fmtid="{D5CDD505-2E9C-101B-9397-08002B2CF9AE}" pid="49" name="reference-section-title">
    <vt:lpwstr>References</vt:lpwstr>
  </property>
  <property fmtid="{D5CDD505-2E9C-101B-9397-08002B2CF9AE}" pid="50" name="repodesc">
    <vt:lpwstr>specification source</vt:lpwstr>
  </property>
  <property fmtid="{D5CDD505-2E9C-101B-9397-08002B2CF9AE}" pid="51" name="reponame">
    <vt:lpwstr>yang</vt:lpwstr>
  </property>
  <property fmtid="{D5CDD505-2E9C-101B-9397-08002B2CF9AE}" pid="52" name="secPrefix">
    <vt:lpwstr/>
  </property>
  <property fmtid="{D5CDD505-2E9C-101B-9397-08002B2CF9AE}" pid="53" name="sectionsDepth">
    <vt:lpwstr>-1</vt:lpwstr>
  </property>
  <property fmtid="{D5CDD505-2E9C-101B-9397-08002B2CF9AE}" pid="54" name="shortname">
    <vt:lpwstr>OD-360</vt:lpwstr>
  </property>
  <property fmtid="{D5CDD505-2E9C-101B-9397-08002B2CF9AE}" pid="55" name="siteurl">
    <vt:lpwstr>index.html</vt:lpwstr>
  </property>
  <property fmtid="{D5CDD505-2E9C-101B-9397-08002B2CF9AE}" pid="56" name="status">
    <vt:lpwstr/>
  </property>
  <property fmtid="{D5CDD505-2E9C-101B-9397-08002B2CF9AE}" pid="57" name="subtitle">
    <vt:lpwstr>Issue: 1 Amendment 3  </vt:lpwstr>
  </property>
  <property fmtid="{D5CDD505-2E9C-101B-9397-08002B2CF9AE}" pid="58" name="summary">
    <vt:lpwstr>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vt:lpwstr>
  </property>
  <property fmtid="{D5CDD505-2E9C-101B-9397-08002B2CF9AE}" pid="59" name="tagline">
    <vt:lpwstr>A set of YANG modules for managing access networks</vt:lpwstr>
  </property>
  <property fmtid="{D5CDD505-2E9C-101B-9397-08002B2CF9AE}" pid="60" name="tblPrefix">
    <vt:lpwstr/>
  </property>
  <property fmtid="{D5CDD505-2E9C-101B-9397-08002B2CF9AE}" pid="61" name="theme-color">
    <vt:lpwstr>#157878</vt:lpwstr>
  </property>
  <property fmtid="{D5CDD505-2E9C-101B-9397-08002B2CF9AE}" pid="62" name="title-prefix">
    <vt:lpwstr>BBF</vt:lpwstr>
  </property>
  <property fmtid="{D5CDD505-2E9C-101B-9397-08002B2CF9AE}" pid="63" name="titleDelim">
    <vt:lpwstr> –</vt:lpwstr>
  </property>
  <property fmtid="{D5CDD505-2E9C-101B-9397-08002B2CF9AE}" pid="64" name="titleid">
    <vt:lpwstr>title</vt:lpwstr>
  </property>
  <property fmtid="{D5CDD505-2E9C-101B-9397-08002B2CF9AE}" pid="65" name="uspAcknowledgmentsSpec">
    <vt:lpwstr/>
  </property>
  <property fmtid="{D5CDD505-2E9C-101B-9397-08002B2CF9AE}" pid="66" name="uspEditorsSpec">
    <vt:lpwstr/>
  </property>
  <property fmtid="{D5CDD505-2E9C-101B-9397-08002B2CF9AE}" pid="67" name="uspPSLsSpec">
    <vt:lpwstr/>
  </property>
  <property fmtid="{D5CDD505-2E9C-101B-9397-08002B2CF9AE}" pid="68" name="uspRevisionHistorySpec">
    <vt:lpwstr/>
  </property>
  <property fmtid="{D5CDD505-2E9C-101B-9397-08002B2CF9AE}" pid="69" name="uspWADsSpec">
    <vt:lpwstr/>
  </property>
  <property fmtid="{D5CDD505-2E9C-101B-9397-08002B2CF9AE}" pid="70" name="version">
    <vt:lpwstr/>
  </property>
  <property fmtid="{D5CDD505-2E9C-101B-9397-08002B2CF9AE}" pid="71" name="website">
    <vt:lpwstr>https://yang.broadband-forum.org</vt:lpwstr>
  </property>
</Properties>
</file>