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2</w:t>
      </w:r>
      <w:r>
        <w:t xml:space="preserve"> </w:t>
      </w:r>
    </w:p>
    <w:p>
      <w:pPr>
        <w:pStyle w:val="Date"/>
      </w:pPr>
      <w:r>
        <w:t xml:space="preserve">Issue</w:t>
      </w:r>
      <w:r>
        <w:t xml:space="preserve"> </w:t>
      </w:r>
      <w:r>
        <w:t xml:space="preserve">Date:</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jc w:val="start"/>
        <w:tblLayout w:type="fixed"/>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Cs/>
            <w:i/>
          </w:rPr>
          <w:t xml:space="preserve">Key words for use in RFCs to Indicate Requirement 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Cs/>
            <w:i/>
          </w:rPr>
          <w:t xml:space="preserve">A YANG Data Model for Interface 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Cs/>
            <w:i/>
          </w:rPr>
          <w:t xml:space="preserve">The YANG 1.1 Data Modeling 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Cs/>
            <w:i/>
          </w:rPr>
          <w:t xml:space="preserve">Ambiguity of Uppercase vs Lowercase in RFC 2119 Key 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Cs/>
            <w:i/>
          </w:rPr>
          <w:t xml:space="preserve">Guidelines for Authors and Reviewers of Documents Containing YANG Data 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2"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Cs/>
          <w:b/>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Cs/>
          <w:i/>
        </w:rPr>
        <w:t xml:space="preserve">This guideline extends section</w:t>
      </w:r>
      <w:r>
        <w:rPr>
          <w:iCs/>
          <w:i/>
        </w:rPr>
        <w:t xml:space="preserve"> </w:t>
      </w:r>
      <w:hyperlink r:id="rId44">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5"/>
    <w:bookmarkStart w:id="50" w:name="sec:ietf-2-yang-validation"/>
    <w:p>
      <w:pPr>
        <w:pStyle w:val="Heading3"/>
      </w:pPr>
      <w:r>
        <w:t xml:space="preserve">IETF-2: YANG Validation</w:t>
      </w:r>
    </w:p>
    <w:p>
      <w:pPr>
        <w:pStyle w:val="FirstParagraph"/>
      </w:pPr>
      <w:r>
        <w:rPr>
          <w:iCs/>
          <w:i/>
        </w:rPr>
        <w:t xml:space="preserve">This guideline overrides section</w:t>
      </w:r>
      <w:r>
        <w:rPr>
          <w:iCs/>
          <w:i/>
        </w:rPr>
        <w:t xml:space="preserve"> </w:t>
      </w:r>
      <w:hyperlink r:id="rId46">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Cs/>
          <w:i/>
        </w:rPr>
        <w:t xml:space="preserve">This guideline restates section</w:t>
      </w:r>
      <w:r>
        <w:rPr>
          <w:iCs/>
          <w:i/>
        </w:rPr>
        <w:t xml:space="preserve"> </w:t>
      </w:r>
      <w:hyperlink r:id="rId51">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Cs/>
          <w:i/>
        </w:rPr>
        <w:t xml:space="preserve">This guideline overrides section</w:t>
      </w:r>
      <w:r>
        <w:rPr>
          <w:iCs/>
          <w:i/>
        </w:rPr>
        <w:t xml:space="preserve"> </w:t>
      </w:r>
      <w:hyperlink r:id="rId53">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Cs/>
          <w:i/>
        </w:rPr>
        <w:t xml:space="preserve">This guideline overrides section</w:t>
      </w:r>
      <w:r>
        <w:rPr>
          <w:iCs/>
          <w:i/>
        </w:rPr>
        <w:t xml:space="preserve"> </w:t>
      </w:r>
      <w:hyperlink r:id="rId57">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Cs/>
          <w:i/>
        </w:rPr>
        <w:t xml:space="preserve">These guidelines override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numPr>
          <w:ilvl w:val="0"/>
          <w:numId w:val="1006"/>
        </w:numPr>
        <w:pStyle w:val="Compact"/>
      </w:pPr>
      <w:r>
        <w:t xml:space="preserve">The guidelines relating to the reference substatement are replaced with a guideline to reference the associated TR Issue, Amendment (if any) and Corrigendum.</w:t>
      </w:r>
    </w:p>
    <w:p>
      <w:pPr>
        <w:numPr>
          <w:ilvl w:val="0"/>
          <w:numId w:val="1006"/>
        </w:numPr>
        <w:pStyle w:val="Compact"/>
      </w:pPr>
      <w:r>
        <w:t xml:space="preserve">The guidelines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Cs/>
          <w:i/>
        </w:rPr>
        <w:t xml:space="preserve">This guideline overrides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6"/>
    <w:bookmarkStart w:id="68" w:name="sec:ietf-9-namespace-assignments"/>
    <w:p>
      <w:pPr>
        <w:pStyle w:val="Heading3"/>
      </w:pPr>
      <w:r>
        <w:t xml:space="preserve">IETF-9: Namespace Assignments</w:t>
      </w:r>
    </w:p>
    <w:p>
      <w:pPr>
        <w:pStyle w:val="FirstParagraph"/>
      </w:pPr>
      <w:r>
        <w:rPr>
          <w:iCs/>
          <w:i/>
        </w:rPr>
        <w:t xml:space="preserve">This guideline overrides section</w:t>
      </w:r>
      <w:r>
        <w:rPr>
          <w:iCs/>
          <w:i/>
        </w:rPr>
        <w:t xml:space="preserve"> </w:t>
      </w:r>
      <w:hyperlink r:id="rId67">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Cs/>
          <w:i/>
        </w:rPr>
        <w:t xml:space="preserve">This guideline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Cs/>
          <w:i/>
        </w:rPr>
        <w:t xml:space="preserve">These guidelines restate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73">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5">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7">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9">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81">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4">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6">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Not everyone reading a YANG model is an expert in YANG and/or XPath. In order to provide assistence in understanding the intent, all</w:t>
      </w:r>
      <w:r>
        <w:t xml:space="preserve"> </w:t>
      </w:r>
      <w:r>
        <w:t xml:space="preserve">‘</w:t>
      </w:r>
      <w:r>
        <w:t xml:space="preserve">must</w:t>
      </w:r>
      <w:r>
        <w:t xml:space="preserve">’</w:t>
      </w:r>
      <w:r>
        <w:t xml:space="preserve"> </w:t>
      </w:r>
      <w:r>
        <w:t xml:space="preserve">statements SHALL contain a description statement. This description should convey the intent of the</w:t>
      </w:r>
      <w:r>
        <w:t xml:space="preserve"> </w:t>
      </w:r>
      <w:r>
        <w:t xml:space="preserve">‘</w:t>
      </w:r>
      <w:r>
        <w:t xml:space="preserve">must</w:t>
      </w:r>
      <w:r>
        <w:t xml:space="preserve">’</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Cs/>
          <w:i/>
        </w:rPr>
        <w:t xml:space="preserve">This guideline clarifies section</w:t>
      </w:r>
      <w:r>
        <w:rPr>
          <w:iCs/>
          <w:i/>
        </w:rPr>
        <w:t xml:space="preserve"> </w:t>
      </w:r>
      <w:hyperlink r:id="rId89">
        <w:r>
          <w:rPr>
            <w:rStyle w:val="Hyperlink"/>
            <w:iCs/>
            <w:i/>
          </w:rPr>
          <w:t xml:space="preserve">3.6</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w:t>
      </w:r>
      <w:r>
        <w:t xml:space="preserve">leafref</w:t>
      </w:r>
      <w:r>
        <w:t xml:space="preserve">’</w:t>
      </w:r>
      <w:r>
        <w:t xml:space="preserve"> </w:t>
      </w:r>
      <w:r>
        <w:t xml:space="preserve">path in a</w:t>
      </w:r>
      <w:r>
        <w:t xml:space="preserve"> </w:t>
      </w:r>
      <w:r>
        <w:t xml:space="preserve">‘</w:t>
      </w:r>
      <w:r>
        <w:t xml:space="preserve">grouping</w:t>
      </w:r>
      <w:r>
        <w:t xml:space="preserve">’</w:t>
      </w:r>
    </w:p>
    <w:p>
      <w:pPr>
        <w:pStyle w:val="FirstParagraph"/>
      </w:pPr>
      <w:r>
        <w:rPr>
          <w:iCs/>
          <w:i/>
        </w:rPr>
        <w:t xml:space="preserve">The following extends section</w:t>
      </w:r>
      <w:r>
        <w:rPr>
          <w:iCs/>
          <w:i/>
        </w:rPr>
        <w:t xml:space="preserve"> </w:t>
      </w:r>
      <w:hyperlink r:id="rId91">
        <w:r>
          <w:rPr>
            <w:rStyle w:val="Hyperlink"/>
            <w:iCs/>
            <w:i/>
          </w:rPr>
          <w:t xml:space="preserve">4.13</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When defined in a</w:t>
      </w:r>
      <w:r>
        <w:t xml:space="preserve"> </w:t>
      </w:r>
      <w:r>
        <w:t xml:space="preserve">‘</w:t>
      </w:r>
      <w:r>
        <w:t xml:space="preserve">grouping</w:t>
      </w:r>
      <w:r>
        <w:t xml:space="preserve">’</w:t>
      </w:r>
      <w:r>
        <w:t xml:space="preserve">, a leaf or leaf-list of type</w:t>
      </w:r>
      <w:r>
        <w:t xml:space="preserve"> </w:t>
      </w:r>
      <w:r>
        <w:t xml:space="preserve">‘</w:t>
      </w:r>
      <w:r>
        <w:t xml:space="preserve">leafref</w:t>
      </w:r>
      <w:r>
        <w:t xml:space="preserve">’</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w:t>
      </w:r>
      <w:r>
        <w:t xml:space="preserve">profile-ref</w:t>
      </w:r>
      <w:r>
        <w:t xml:space="preserve">’</w:t>
      </w:r>
      <w:r>
        <w:t xml:space="preserve"> </w:t>
      </w:r>
      <w:r>
        <w:t xml:space="preserve">is referencing the leaf</w:t>
      </w:r>
      <w:r>
        <w:t xml:space="preserve"> </w:t>
      </w:r>
      <w:r>
        <w:t xml:space="preserve">‘</w:t>
      </w:r>
      <w:r>
        <w:t xml:space="preserve">name</w:t>
      </w:r>
      <w:r>
        <w:t xml:space="preserve">’</w:t>
      </w:r>
      <w:r>
        <w:t xml:space="preserve"> </w:t>
      </w:r>
      <w:r>
        <w:t xml:space="preserve">that exists outside of the</w:t>
      </w:r>
      <w:r>
        <w:t xml:space="preserve"> </w:t>
      </w:r>
      <w:r>
        <w:t xml:space="preserve">‘</w:t>
      </w:r>
      <w:r>
        <w:t xml:space="preserve">grouping</w:t>
      </w:r>
      <w:r>
        <w:t xml:space="preserve">’</w:t>
      </w:r>
      <w:r>
        <w:t xml:space="preserve"> </w:t>
      </w:r>
      <w:r>
        <w:t xml:space="preserve">statement. For this path to be valid, the grouping has to be used in a schema where the data node hierarchy, specified in the</w:t>
      </w:r>
      <w:r>
        <w:t xml:space="preserve"> </w:t>
      </w:r>
      <w:r>
        <w:t xml:space="preserve">‘</w:t>
      </w:r>
      <w:r>
        <w:t xml:space="preserve">path</w:t>
      </w:r>
      <w:r>
        <w:t xml:space="preserve">’</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9"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w:t>
      </w:r>
      <w:r>
        <w:t xml:space="preserve">undetermined</w:t>
      </w:r>
      <w:r>
        <w:t xml:space="preserve">”</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t xml:space="preserve">The</w:t>
      </w:r>
      <w:r>
        <w:t xml:space="preserve"> </w:t>
      </w:r>
      <w:r>
        <w:t xml:space="preserve">‘</w:t>
      </w:r>
      <w:r>
        <w:t xml:space="preserve">value</w:t>
      </w:r>
      <w:r>
        <w:t xml:space="preserv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w:t>
      </w:r>
      <w:r>
        <w:t xml:space="preserve">value</w:t>
      </w:r>
      <w:r>
        <w:t xml:space="preserv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15">
        <w:r>
          <w:rPr>
            <w:rStyle w:val="Hyperlink"/>
            <w:iCs/>
            <w:i/>
          </w:rPr>
          <w:t xml:space="preserve">7.9.3</w:t>
        </w:r>
      </w:hyperlink>
      <w:r>
        <w:rPr>
          <w:iCs/>
          <w:i/>
        </w:rPr>
        <w:t xml:space="preserve"> </w:t>
      </w:r>
      <w:r>
        <w:rPr>
          <w:iCs/>
          <w:i/>
        </w:rPr>
        <w:t xml:space="preserve">and section</w:t>
      </w:r>
      <w:r>
        <w:rPr>
          <w:iCs/>
          <w:i/>
        </w:rPr>
        <w:t xml:space="preserve"> </w:t>
      </w:r>
      <w:hyperlink r:id="rId116">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numPr>
          <w:ilvl w:val="0"/>
          <w:numId w:val="1016"/>
        </w:numPr>
        <w:pStyle w:val="Compact"/>
      </w:pPr>
      <w:r>
        <w:t xml:space="preserve">A newer, possibly more efficient, method has been defined.</w:t>
      </w:r>
    </w:p>
    <w:p>
      <w:pPr>
        <w:numPr>
          <w:ilvl w:val="0"/>
          <w:numId w:val="1016"/>
        </w:numPr>
        <w:pStyle w:val="Compact"/>
      </w:pPr>
      <w:r>
        <w:t xml:space="preserve">Error(s) existing in the current definition that cannot be resolved in a backward compatible way.</w:t>
      </w:r>
    </w:p>
    <w:p>
      <w:pPr>
        <w:numPr>
          <w:ilvl w:val="0"/>
          <w:numId w:val="1016"/>
        </w:numPr>
        <w:pStyle w:val="Compact"/>
      </w:pPr>
      <w:r>
        <w:t xml:space="preserve">Data nodes were unnecessary or modeled by mistake, and there is no need to maintain or replace them.</w:t>
      </w:r>
    </w:p>
    <w:p>
      <w:pPr>
        <w:pStyle w:val="FirstParagraph"/>
      </w:pPr>
      <w:r>
        <w:t xml:space="preserve">The process for this is as follows:</w:t>
      </w:r>
    </w:p>
    <w:p>
      <w:pPr>
        <w:numPr>
          <w:ilvl w:val="0"/>
          <w:numId w:val="1017"/>
        </w:numPr>
        <w:pStyle w:val="Compact"/>
      </w:pPr>
      <w:r>
        <w:t xml:space="preserve">Change the status of the applicable data nodes from</w:t>
      </w:r>
      <w:r>
        <w:t xml:space="preserve"> </w:t>
      </w:r>
      <w:r>
        <w:t xml:space="preserve">“</w:t>
      </w:r>
      <w:r>
        <w:t xml:space="preserve">current</w:t>
      </w:r>
      <w:r>
        <w:t xml:space="preserve">”</w:t>
      </w:r>
      <w:r>
        <w:t xml:space="preserve"> </w:t>
      </w:r>
      <w:r>
        <w:t xml:space="preserve">to</w:t>
      </w:r>
      <w:r>
        <w:t xml:space="preserve"> </w:t>
      </w:r>
      <w:r>
        <w:t xml:space="preserve">“</w:t>
      </w:r>
      <w:r>
        <w:t xml:space="preserve">deprecated</w:t>
      </w:r>
      <w:r>
        <w:t xml:space="preserve">”</w:t>
      </w:r>
      <w:r>
        <w:t xml:space="preserve"> </w:t>
      </w:r>
      <w:r>
        <w:t xml:space="preserve">by adding a status statement with the value</w:t>
      </w:r>
      <w:r>
        <w:t xml:space="preserve"> </w:t>
      </w:r>
      <w:r>
        <w:t xml:space="preserve">“</w:t>
      </w:r>
      <w:r>
        <w:t xml:space="preserve">deprecated</w:t>
      </w:r>
      <w:r>
        <w:t xml:space="preserve">”</w:t>
      </w:r>
      <w:r>
        <w:t xml:space="preserve">.</w:t>
      </w:r>
    </w:p>
    <w:p>
      <w:pPr>
        <w:numPr>
          <w:ilvl w:val="0"/>
          <w:numId w:val="1017"/>
        </w:numPr>
        <w:pStyle w:val="Compact"/>
      </w:pPr>
      <w:r>
        <w:t xml:space="preserve">The deprecated data nodes MUST remain in this state for at least two years.</w:t>
      </w:r>
    </w:p>
    <w:p>
      <w:pPr>
        <w:numPr>
          <w:ilvl w:val="0"/>
          <w:numId w:val="1017"/>
        </w:numPr>
        <w:pStyle w:val="Compact"/>
      </w:pPr>
      <w:r>
        <w:t xml:space="preserve">Beginning with the next publication after at least two years, the data nodes MAY be transitioned from</w:t>
      </w:r>
      <w:r>
        <w:t xml:space="preserve"> </w:t>
      </w:r>
      <w:r>
        <w:t xml:space="preserve">“</w:t>
      </w:r>
      <w:r>
        <w:t xml:space="preserve">deprecated</w:t>
      </w:r>
      <w:r>
        <w:t xml:space="preserve">”</w:t>
      </w:r>
      <w:r>
        <w:t xml:space="preserve"> </w:t>
      </w:r>
      <w:r>
        <w:t xml:space="preserve">to</w:t>
      </w:r>
      <w:r>
        <w:t xml:space="preserve"> </w:t>
      </w:r>
      <w:r>
        <w:t xml:space="preserve">“</w:t>
      </w:r>
      <w:r>
        <w:t xml:space="preserve">obsolete</w:t>
      </w:r>
      <w:r>
        <w:t xml:space="preserve">”</w:t>
      </w:r>
      <w:r>
        <w:t xml:space="preserve">.</w:t>
      </w:r>
    </w:p>
    <w:p>
      <w:pPr>
        <w:numPr>
          <w:ilvl w:val="0"/>
          <w:numId w:val="1017"/>
        </w:numPr>
        <w:pStyle w:val="Compact"/>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w:t>
      </w:r>
      <w:r>
        <w:t xml:space="preserve">enable</w:t>
      </w:r>
      <w:r>
        <w:t xml:space="preserve">”</w:t>
      </w:r>
      <w:r>
        <w:t xml:space="preserve"> </w:t>
      </w:r>
      <w:r>
        <w:t xml:space="preserve">vs. </w:t>
      </w:r>
      <w:r>
        <w:t xml:space="preserve">“</w:t>
      </w:r>
      <w:r>
        <w:t xml:space="preserve">enabled</w:t>
      </w:r>
      <w:r>
        <w:t xml:space="preserve">”</w:t>
      </w:r>
    </w:p>
    <w:p>
      <w:pPr>
        <w:pStyle w:val="FirstParagraph"/>
      </w:pPr>
      <w:r>
        <w:t xml:space="preserve">Data nodes used to enable/disable some function, and whose identifier is intended to include the term</w:t>
      </w:r>
      <w:r>
        <w:t xml:space="preserve"> </w:t>
      </w:r>
      <w:r>
        <w:t xml:space="preserve">“</w:t>
      </w:r>
      <w:r>
        <w:t xml:space="preserve">enable</w:t>
      </w:r>
      <w:r>
        <w:t xml:space="preserve">”</w:t>
      </w:r>
      <w:r>
        <w:t xml:space="preserve">, either solely or as part of a larger name, SHALL use the</w:t>
      </w:r>
      <w:r>
        <w:t xml:space="preserve"> </w:t>
      </w:r>
      <w:r>
        <w:t xml:space="preserve">“</w:t>
      </w:r>
      <w:r>
        <w:t xml:space="preserve">enabled</w:t>
      </w:r>
      <w:r>
        <w:t xml:space="preserve">”</w:t>
      </w:r>
      <w:r>
        <w:t xml:space="preserve"> </w:t>
      </w:r>
      <w:r>
        <w:t xml:space="preserve">form of the word, e.g.,</w:t>
      </w:r>
      <w:r>
        <w:t xml:space="preserve"> </w:t>
      </w:r>
      <w:r>
        <w:t xml:space="preserve">‘</w:t>
      </w:r>
      <w:r>
        <w:t xml:space="preserve">enabled</w:t>
      </w:r>
      <w:r>
        <w:t xml:space="preserve">’</w:t>
      </w:r>
      <w:r>
        <w:t xml:space="preserve"> </w:t>
      </w:r>
      <w:r>
        <w:t xml:space="preserve">or</w:t>
      </w:r>
      <w:r>
        <w:t xml:space="preserve"> </w:t>
      </w:r>
      <w:r>
        <w:t xml:space="preserve">‘</w:t>
      </w:r>
      <w:r>
        <w:t xml:space="preserve">statistics-enabled</w:t>
      </w:r>
      <w:r>
        <w:t xml:space="preserve">’</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w:t>
      </w:r>
      <w:r>
        <w:t xml:space="preserve">oper-state</w:t>
      </w:r>
      <w:r>
        <w:t xml:space="preserve">”</w:t>
      </w:r>
      <w:r>
        <w:t xml:space="preserve"> </w:t>
      </w:r>
      <w:r>
        <w:t xml:space="preserve">vs. </w:t>
      </w:r>
      <w:r>
        <w:t xml:space="preserve">“</w:t>
      </w:r>
      <w:r>
        <w:t xml:space="preserve">oper-status</w:t>
      </w:r>
      <w:r>
        <w:t xml:space="preserve">”</w:t>
      </w:r>
    </w:p>
    <w:p>
      <w:pPr>
        <w:pStyle w:val="FirstParagraph"/>
      </w:pPr>
      <w:r>
        <w:t xml:space="preserve">BBF YANG modules SHALL use the term</w:t>
      </w:r>
      <w:r>
        <w:t xml:space="preserve"> </w:t>
      </w:r>
      <w:r>
        <w:t xml:space="preserve">‘</w:t>
      </w:r>
      <w:r>
        <w:t xml:space="preserve">oper-state</w:t>
      </w:r>
      <w:r>
        <w:t xml:space="preserve">’</w:t>
      </w:r>
      <w:r>
        <w:t xml:space="preserve"> </w:t>
      </w:r>
      <w:r>
        <w:t xml:space="preserve">when defining a data node that reports the operational state. This is applicable whether it is the full name or part of the name of the data node, e.g.,</w:t>
      </w:r>
      <w:r>
        <w:t xml:space="preserve"> </w:t>
      </w:r>
      <w:r>
        <w:t xml:space="preserve">‘</w:t>
      </w:r>
      <w:r>
        <w:t xml:space="preserve">oper-state</w:t>
      </w:r>
      <w:r>
        <w:t xml:space="preserve">’</w:t>
      </w:r>
      <w:r>
        <w:t xml:space="preserve">,</w:t>
      </w:r>
      <w:r>
        <w:t xml:space="preserve"> </w:t>
      </w:r>
      <w:r>
        <w:t xml:space="preserve">‘</w:t>
      </w:r>
      <w:r>
        <w:t xml:space="preserve">oper-state-timestamp</w:t>
      </w:r>
      <w:r>
        <w:t xml:space="preserve">’</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numPr>
          <w:ilvl w:val="0"/>
          <w:numId w:val="1018"/>
        </w:numPr>
        <w:pStyle w:val="Compact"/>
      </w:pPr>
      <w:r>
        <w:t xml:space="preserve">&lt;SDO&gt;: Standards Defining Organization</w:t>
      </w:r>
    </w:p>
    <w:p>
      <w:pPr>
        <w:numPr>
          <w:ilvl w:val="1"/>
          <w:numId w:val="1019"/>
        </w:numPr>
        <w:pStyle w:val="Compact"/>
      </w:pPr>
      <w:r>
        <w:t xml:space="preserve">Examples: IEEE, ITU-T</w:t>
      </w:r>
    </w:p>
    <w:p>
      <w:pPr>
        <w:numPr>
          <w:ilvl w:val="1"/>
          <w:numId w:val="1019"/>
        </w:numPr>
        <w:pStyle w:val="Compact"/>
      </w:pPr>
      <w:r>
        <w:t xml:space="preserve">Optional: For well known document types, e.g., RFC implies IETF and TR implies BBF, the SDO is not required.</w:t>
      </w:r>
    </w:p>
    <w:p>
      <w:pPr>
        <w:numPr>
          <w:ilvl w:val="0"/>
          <w:numId w:val="1018"/>
        </w:numPr>
        <w:pStyle w:val="Compact"/>
      </w:pPr>
      <w:r>
        <w:t xml:space="preserve">&lt;doc#&gt;: Document number</w:t>
      </w:r>
    </w:p>
    <w:p>
      <w:pPr>
        <w:numPr>
          <w:ilvl w:val="1"/>
          <w:numId w:val="1020"/>
        </w:numPr>
        <w:pStyle w:val="Compact"/>
      </w:pPr>
      <w:r>
        <w:t xml:space="preserve">Examples: TR-101i2, RFC 7950</w:t>
      </w:r>
    </w:p>
    <w:p>
      <w:pPr>
        <w:numPr>
          <w:ilvl w:val="1"/>
          <w:numId w:val="1020"/>
        </w:numPr>
        <w:pStyle w:val="Compact"/>
      </w:pPr>
      <w:r>
        <w:t xml:space="preserve">Mandatory</w:t>
      </w:r>
    </w:p>
    <w:p>
      <w:pPr>
        <w:numPr>
          <w:ilvl w:val="1"/>
          <w:numId w:val="1020"/>
        </w:numPr>
        <w:pStyle w:val="Compact"/>
      </w:pPr>
      <w:r>
        <w:t xml:space="preserve">For BBF documents, the Issue and/or Amendment and/or Corrigendum are included in the document number in the abbreviated format as described in IETF-7, e.g., TR-101i2, TR-385i2a1.</w:t>
      </w:r>
    </w:p>
    <w:p>
      <w:pPr>
        <w:numPr>
          <w:ilvl w:val="0"/>
          <w:numId w:val="1018"/>
        </w:numPr>
        <w:pStyle w:val="Compact"/>
      </w:pPr>
      <w:r>
        <w:t xml:space="preserve">&lt;version&gt;: Version or revision number and/or date</w:t>
      </w:r>
    </w:p>
    <w:p>
      <w:pPr>
        <w:numPr>
          <w:ilvl w:val="1"/>
          <w:numId w:val="1021"/>
        </w:numPr>
        <w:pStyle w:val="Compact"/>
      </w:pPr>
      <w:r>
        <w:t xml:space="preserve">Examples: (Revision 12.3), (2008/07)</w:t>
      </w:r>
    </w:p>
    <w:p>
      <w:pPr>
        <w:numPr>
          <w:ilvl w:val="1"/>
          <w:numId w:val="1021"/>
        </w:numPr>
        <w:pStyle w:val="Compact"/>
      </w:pPr>
      <w:r>
        <w:t xml:space="preserve">Optional: For documents whose name implies or specifies the version, e.g., RFC 8348, TR-383a6, additional version information is not required.</w:t>
      </w:r>
    </w:p>
    <w:p>
      <w:pPr>
        <w:numPr>
          <w:ilvl w:val="0"/>
          <w:numId w:val="1018"/>
        </w:numPr>
        <w:pStyle w:val="Compact"/>
      </w:pPr>
      <w:r>
        <w:t xml:space="preserve">&lt;R/S/C/T/F&gt;: Requirement/Section/Clause/Table/Figure</w:t>
      </w:r>
    </w:p>
    <w:p>
      <w:pPr>
        <w:numPr>
          <w:ilvl w:val="1"/>
          <w:numId w:val="1022"/>
        </w:numPr>
        <w:pStyle w:val="Compact"/>
      </w:pPr>
      <w:r>
        <w:t xml:space="preserve">Examples: R-13, Section 3.6, Clause 7.2.1, Table 2, Figure 5-4</w:t>
      </w:r>
    </w:p>
    <w:p>
      <w:pPr>
        <w:numPr>
          <w:ilvl w:val="1"/>
          <w:numId w:val="1022"/>
        </w:numPr>
        <w:pStyle w:val="Compact"/>
      </w:pPr>
      <w:r>
        <w:t xml:space="preserve">Optional: Only if applicable.</w:t>
      </w:r>
    </w:p>
    <w:p>
      <w:pPr>
        <w:numPr>
          <w:ilvl w:val="1"/>
          <w:numId w:val="1022"/>
        </w:numPr>
        <w:pStyle w:val="Compact"/>
      </w:pPr>
      <w:r>
        <w:t xml:space="preserve">Terminology MUST align with the terms used by the reference, e.g., Sections for RFCs, Clauses for ITU-T specifications.</w:t>
      </w:r>
    </w:p>
    <w:p>
      <w:pPr>
        <w:numPr>
          <w:ilvl w:val="1"/>
          <w:numId w:val="1022"/>
        </w:numPr>
        <w:pStyle w:val="Compact"/>
      </w:pPr>
      <w:r>
        <w:t xml:space="preserve">First letter is capitalized, e.g.,</w:t>
      </w:r>
      <w:r>
        <w:t xml:space="preserve"> </w:t>
      </w:r>
      <w:r>
        <w:t xml:space="preserve">“</w:t>
      </w:r>
      <w:r>
        <w:t xml:space="preserve">Section</w:t>
      </w:r>
      <w:r>
        <w:t xml:space="preserve">”</w:t>
      </w:r>
      <w:r>
        <w:t xml:space="preserve"> </w:t>
      </w:r>
      <w:r>
        <w:t xml:space="preserve">instead of</w:t>
      </w:r>
      <w:r>
        <w:t xml:space="preserve"> </w:t>
      </w:r>
      <w:r>
        <w:t xml:space="preserve">“</w:t>
      </w:r>
      <w:r>
        <w:t xml:space="preserve">section</w:t>
      </w:r>
      <w:r>
        <w:t xml:space="preserve">”</w:t>
      </w:r>
      <w:r>
        <w:t xml:space="preserve">.</w:t>
      </w:r>
    </w:p>
    <w:p>
      <w:pPr>
        <w:numPr>
          <w:ilvl w:val="1"/>
          <w:numId w:val="1022"/>
        </w:numPr>
        <w:pStyle w:val="Compact"/>
      </w:pPr>
      <w:r>
        <w:t xml:space="preserve">If multiple are applicable in a given document, treat each as a separate reference.</w:t>
      </w:r>
    </w:p>
    <w:p>
      <w:pPr>
        <w:numPr>
          <w:ilvl w:val="0"/>
          <w:numId w:val="1018"/>
        </w:numPr>
        <w:pStyle w:val="Compact"/>
      </w:pPr>
      <w:r>
        <w:t xml:space="preserve">&lt;descr&gt;: Description of the reference</w:t>
      </w:r>
    </w:p>
    <w:p>
      <w:pPr>
        <w:numPr>
          <w:ilvl w:val="1"/>
          <w:numId w:val="1023"/>
        </w:numPr>
        <w:pStyle w:val="Compact"/>
      </w:pPr>
      <w:r>
        <w:t xml:space="preserve">Examples: variable name or specific identifier within the Section or Clause</w:t>
      </w:r>
    </w:p>
    <w:p>
      <w:pPr>
        <w:numPr>
          <w:ilvl w:val="1"/>
          <w:numId w:val="1023"/>
        </w:numPr>
        <w:pStyle w:val="Compact"/>
      </w:pPr>
      <w:r>
        <w:t xml:space="preserve">Optional: Should be used when it is possible to uniquely identify the parameter being modeled within the given reference.</w:t>
      </w:r>
    </w:p>
    <w:p>
      <w:pPr>
        <w:numPr>
          <w:ilvl w:val="2"/>
          <w:numId w:val="1024"/>
        </w:numPr>
        <w:pStyle w:val="Compact"/>
      </w:pPr>
      <w:r>
        <w:t xml:space="preserve">Examples:</w:t>
      </w:r>
    </w:p>
    <w:p>
      <w:pPr>
        <w:numPr>
          <w:ilvl w:val="3"/>
          <w:numId w:val="1025"/>
        </w:numPr>
        <w:pStyle w:val="Compact"/>
      </w:pPr>
      <w:r>
        <w:t xml:space="preserve">An ME defined in an ITU-T G.988 Clause contains one or more parameters. If the reference is for one specific parameter, it must be identified in the reference, e.g.,</w:t>
      </w:r>
      <w:r>
        <w:t xml:space="preserve"> </w:t>
      </w:r>
      <w:r>
        <w:t xml:space="preserve">“</w:t>
      </w:r>
      <w:r>
        <w:t xml:space="preserve">ITU-T G.988 Clause 9.9.6 - PSTN protocol variant</w:t>
      </w:r>
      <w:r>
        <w:t xml:space="preserve">”</w:t>
      </w:r>
      <w:r>
        <w:t xml:space="preserve">.</w:t>
      </w:r>
    </w:p>
    <w:p>
      <w:pPr>
        <w:numPr>
          <w:ilvl w:val="3"/>
          <w:numId w:val="1025"/>
        </w:numPr>
        <w:pStyle w:val="Compact"/>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w:t>
      </w:r>
      <w:r>
        <w:t xml:space="preserve">ITU-T G.997.2 Clause 7.2.1.1 - Maximum net data rate (MAXNDRds/us)</w:t>
      </w:r>
      <w:r>
        <w:t xml:space="preserve">”</w:t>
      </w:r>
      <w:r>
        <w:t xml:space="preserve">.</w:t>
      </w:r>
    </w:p>
    <w:p>
      <w:pPr>
        <w:numPr>
          <w:ilvl w:val="3"/>
          <w:numId w:val="1025"/>
        </w:numPr>
        <w:pStyle w:val="Compact"/>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w:t>
      </w:r>
      <w:r>
        <w:t xml:space="preserve">ITU-T G.997.2 Clause 7.2.1.1 - Maximum net data rate downstream (MAXNDRds)</w:t>
      </w:r>
      <w:r>
        <w:t xml:space="preserve">”</w:t>
      </w:r>
      <w:r>
        <w:t xml:space="preserve">.</w:t>
      </w:r>
    </w:p>
    <w:p>
      <w:pPr>
        <w:numPr>
          <w:ilvl w:val="3"/>
          <w:numId w:val="1025"/>
        </w:numPr>
        <w:pStyle w:val="Compact"/>
      </w:pPr>
      <w:r>
        <w:t xml:space="preserve">A parameter defined in a Table in SFF-8472 is specified by its memory location (address and byte numbers). References for these types of parameters should include the address and bytes, e.g.,</w:t>
      </w:r>
      <w:r>
        <w:t xml:space="preserve"> </w:t>
      </w:r>
      <w:r>
        <w:t xml:space="preserve">“</w:t>
      </w:r>
      <w:r>
        <w:t xml:space="preserve">SFF-8472 (Revision 12.4) Table 4-1 - Address A0h, Bytes 96-127</w:t>
      </w:r>
      <w:r>
        <w:t xml:space="preserve">”</w:t>
      </w:r>
      <w:r>
        <w:t xml:space="preserve">.</w:t>
      </w:r>
    </w:p>
    <w:p>
      <w:pPr>
        <w:numPr>
          <w:ilvl w:val="1"/>
          <w:numId w:val="1023"/>
        </w:numPr>
        <w:pStyle w:val="Compact"/>
      </w:pPr>
      <w:r>
        <w:t xml:space="preserve">In general, the title associated with the reference should not be used unless it also represents one of the above.</w:t>
      </w:r>
    </w:p>
    <w:p>
      <w:pPr>
        <w:numPr>
          <w:ilvl w:val="0"/>
          <w:numId w:val="1018"/>
        </w:numPr>
        <w:pStyle w:val="Compact"/>
      </w:pPr>
      <w:r>
        <w:t xml:space="preserve">&lt;URL&gt;: The URL of the associated reference used when there is no formal technical specification</w:t>
      </w:r>
    </w:p>
    <w:p>
      <w:pPr>
        <w:numPr>
          <w:ilvl w:val="1"/>
          <w:numId w:val="1026"/>
        </w:numPr>
        <w:pStyle w:val="Compact"/>
      </w:pPr>
      <w:r>
        <w:t xml:space="preserve">Example: github.com/grpc/grpc/blob/master/doc/connection-backoff.md</w:t>
      </w:r>
    </w:p>
    <w:p>
      <w:pPr>
        <w:numPr>
          <w:ilvl w:val="1"/>
          <w:numId w:val="1026"/>
        </w:numPr>
        <w:pStyle w:val="Compact"/>
      </w:pPr>
      <w:r>
        <w:t xml:space="preserve">Do not include the URL scheme, e.g., http:// or https://, as it may change. For example, a site may move from an unsecure (http) scheme to a secure (https) scheme.</w:t>
      </w:r>
    </w:p>
    <w:p>
      <w:pPr>
        <w:numPr>
          <w:ilvl w:val="0"/>
          <w:numId w:val="1018"/>
        </w:numPr>
        <w:pStyle w:val="Compact"/>
      </w:pPr>
      <w:r>
        <w:t xml:space="preserve">‘</w:t>
      </w:r>
      <w:r>
        <w:t xml:space="preserve">;</w:t>
      </w:r>
      <w:r>
        <w:t xml:space="preserve">’</w:t>
      </w:r>
      <w:r>
        <w:t xml:space="preserve">: Requirement separator</w:t>
      </w:r>
    </w:p>
    <w:p>
      <w:pPr>
        <w:numPr>
          <w:ilvl w:val="1"/>
          <w:numId w:val="1027"/>
        </w:numPr>
        <w:pStyle w:val="Compact"/>
      </w:pPr>
      <w:r>
        <w:t xml:space="preserve">Mandatory: A semicolon MUST be used to terminate all but the last reference when there are multiple references in a reference statement.</w:t>
      </w:r>
    </w:p>
    <w:p>
      <w:pPr>
        <w:numPr>
          <w:ilvl w:val="1"/>
          <w:numId w:val="1027"/>
        </w:numPr>
        <w:pStyle w:val="Compact"/>
      </w:pPr>
      <w:r>
        <w:t xml:space="preserve">Each reference MUST start on a new line.</w:t>
      </w:r>
    </w:p>
    <w:p>
      <w:pPr>
        <w:numPr>
          <w:ilvl w:val="1"/>
          <w:numId w:val="1027"/>
        </w:numPr>
        <w:pStyle w:val="Compact"/>
      </w:pPr>
      <w:r>
        <w:t xml:space="preserve">This is not applicable when there is only one reference in the reference statement.</w:t>
      </w:r>
    </w:p>
    <w:p>
      <w:pPr>
        <w:numPr>
          <w:ilvl w:val="0"/>
          <w:numId w:val="1018"/>
        </w:numPr>
        <w:pStyle w:val="Compact"/>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numPr>
          <w:ilvl w:val="0"/>
          <w:numId w:val="1028"/>
        </w:numPr>
        <w:pStyle w:val="Compact"/>
      </w:pPr>
      <w:r>
        <w:t xml:space="preserve">While external references must be documented in the</w:t>
      </w:r>
      <w:r>
        <w:t xml:space="preserve"> </w:t>
      </w:r>
      <w:r>
        <w:t xml:space="preserve">‘</w:t>
      </w:r>
      <w:r>
        <w:t xml:space="preserve">reference</w:t>
      </w:r>
      <w:r>
        <w:t xml:space="preserve">’</w:t>
      </w:r>
      <w:r>
        <w:t xml:space="preserve"> </w:t>
      </w:r>
      <w:r>
        <w:t xml:space="preserve">statement, it is also allowed to refer to them in the description itself.</w:t>
      </w:r>
    </w:p>
    <w:p>
      <w:pPr>
        <w:numPr>
          <w:ilvl w:val="0"/>
          <w:numId w:val="1028"/>
        </w:numPr>
        <w:pStyle w:val="Compact"/>
      </w:pPr>
      <w:r>
        <w:t xml:space="preserve">This guideline does not apply to a reference statement within a revision statement. Those reference statements have a unique format used for drafts and publication.</w:t>
      </w:r>
    </w:p>
    <w:p>
      <w:pPr>
        <w:numPr>
          <w:ilvl w:val="0"/>
          <w:numId w:val="1028"/>
        </w:numPr>
        <w:pStyle w:val="Compact"/>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w:t>
      </w:r>
      <w:r>
        <w:t xml:space="preserve">DO NOT put deviation statements in a published module</w:t>
      </w:r>
      <w:r>
        <w:t xml:space="preserve">”</w:t>
      </w:r>
      <w:r>
        <w:t xml:space="preserve">. BBF YANG modules MUST follow this stated guideline on deviation statements.</w:t>
      </w:r>
    </w:p>
    <w:p>
      <w:pPr>
        <w:pStyle w:val="BodyText"/>
      </w:pPr>
      <w:r>
        <w:t xml:space="preserve">Body Statement Order:</w:t>
      </w:r>
    </w:p>
    <w:p>
      <w:pPr>
        <w:numPr>
          <w:ilvl w:val="0"/>
          <w:numId w:val="1029"/>
        </w:numPr>
        <w:pStyle w:val="Compact"/>
      </w:pPr>
      <w:r>
        <w:t xml:space="preserve">extension statements</w:t>
      </w:r>
    </w:p>
    <w:p>
      <w:pPr>
        <w:numPr>
          <w:ilvl w:val="0"/>
          <w:numId w:val="1029"/>
        </w:numPr>
        <w:pStyle w:val="Compact"/>
      </w:pPr>
      <w:r>
        <w:t xml:space="preserve">feature statements</w:t>
      </w:r>
    </w:p>
    <w:p>
      <w:pPr>
        <w:numPr>
          <w:ilvl w:val="0"/>
          <w:numId w:val="1029"/>
        </w:numPr>
        <w:pStyle w:val="Compact"/>
      </w:pPr>
      <w:r>
        <w:t xml:space="preserve">identity statements</w:t>
      </w:r>
    </w:p>
    <w:p>
      <w:pPr>
        <w:numPr>
          <w:ilvl w:val="0"/>
          <w:numId w:val="1029"/>
        </w:numPr>
        <w:pStyle w:val="Compact"/>
      </w:pPr>
      <w:r>
        <w:t xml:space="preserve">typedef statements</w:t>
      </w:r>
    </w:p>
    <w:p>
      <w:pPr>
        <w:numPr>
          <w:ilvl w:val="0"/>
          <w:numId w:val="1029"/>
        </w:numPr>
        <w:pStyle w:val="Compact"/>
      </w:pPr>
      <w:r>
        <w:t xml:space="preserve">grouping statements</w:t>
      </w:r>
    </w:p>
    <w:p>
      <w:pPr>
        <w:numPr>
          <w:ilvl w:val="0"/>
          <w:numId w:val="1029"/>
        </w:numPr>
        <w:pStyle w:val="Compact"/>
      </w:pPr>
      <w:r>
        <w:t xml:space="preserve">data definition statements</w:t>
      </w:r>
    </w:p>
    <w:p>
      <w:pPr>
        <w:numPr>
          <w:ilvl w:val="0"/>
          <w:numId w:val="1029"/>
        </w:numPr>
        <w:pStyle w:val="Compact"/>
      </w:pPr>
      <w:r>
        <w:t xml:space="preserve">augment statements</w:t>
      </w:r>
    </w:p>
    <w:p>
      <w:pPr>
        <w:numPr>
          <w:ilvl w:val="0"/>
          <w:numId w:val="1029"/>
        </w:numPr>
        <w:pStyle w:val="Compact"/>
      </w:pPr>
      <w:r>
        <w:t xml:space="preserve">rpc statements</w:t>
      </w:r>
    </w:p>
    <w:p>
      <w:pPr>
        <w:numPr>
          <w:ilvl w:val="0"/>
          <w:numId w:val="1029"/>
        </w:numPr>
        <w:pStyle w:val="Compact"/>
      </w:pPr>
      <w:r>
        <w:t xml:space="preserve">notification statements</w:t>
      </w:r>
    </w:p>
    <w:bookmarkEnd w:id="128"/>
    <w:bookmarkStart w:id="129" w:name="Xba1c62665070be3155a84b4d1da73d5a18d616d"/>
    <w:p>
      <w:pPr>
        <w:pStyle w:val="Heading3"/>
      </w:pPr>
      <w:r>
        <w:t xml:space="preserve">BBF-27:</w:t>
      </w:r>
      <w:r>
        <w:t xml:space="preserve"> </w:t>
      </w:r>
      <w:r>
        <w:t xml:space="preserve">‘</w:t>
      </w:r>
      <w:r>
        <w:t xml:space="preserve">list</w:t>
      </w:r>
      <w:r>
        <w:t xml:space="preserve">’</w:t>
      </w:r>
      <w:r>
        <w:t xml:space="preserve"> </w:t>
      </w:r>
      <w:r>
        <w:t xml:space="preserve">and</w:t>
      </w:r>
      <w:r>
        <w:t xml:space="preserve"> </w:t>
      </w:r>
      <w:r>
        <w:t xml:space="preserve">‘</w:t>
      </w:r>
      <w:r>
        <w:t xml:space="preserve">leaf-list</w:t>
      </w:r>
      <w:r>
        <w:t xml:space="preserve">’</w:t>
      </w:r>
      <w:r>
        <w:t xml:space="preserve"> </w:t>
      </w:r>
      <w:r>
        <w:t xml:space="preserve">Naming and Descriptions</w:t>
      </w:r>
    </w:p>
    <w:p>
      <w:pPr>
        <w:pStyle w:val="FirstParagraph"/>
      </w:pPr>
      <w:r>
        <w:t xml:space="preserve">The name of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w:t>
      </w:r>
      <w:r>
        <w:t xml:space="preserve">list</w:t>
      </w:r>
      <w:r>
        <w:t xml:space="preserve">’</w:t>
      </w:r>
      <w:r>
        <w:t xml:space="preserve"> </w:t>
      </w:r>
      <w:r>
        <w:t xml:space="preserve">node describes a single entry in the list,</w:t>
      </w:r>
      <w:r>
        <w:t xml:space="preserve"> </w:t>
      </w:r>
      <w:r>
        <w:t xml:space="preserve">“</w:t>
      </w:r>
      <w:r>
        <w:t xml:space="preserve">A traffic management profile</w:t>
      </w:r>
      <w:r>
        <w:t xml:space="preserve">”</w:t>
      </w:r>
      <w:r>
        <w:t xml:space="preserve">.</w:t>
      </w:r>
    </w:p>
    <w:p>
      <w:pPr>
        <w:pStyle w:val="BodyText"/>
      </w:pPr>
      <w:r>
        <w:t xml:space="preserve">The description statement for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t>
      </w:r>
      <w:r>
        <w:t xml:space="preserve">when</w:t>
      </w:r>
      <w:r>
        <w:t xml:space="preserve">’</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t>
      </w:r>
      <w:r>
        <w:t xml:space="preserve">when</w:t>
      </w:r>
      <w:r>
        <w:t xml:space="preserve">’</w:t>
      </w:r>
      <w:r>
        <w:t xml:space="preserve"> </w:t>
      </w:r>
      <w:r>
        <w:t xml:space="preserve">statements SHALL contain a description statement. This description should convey the intent of the</w:t>
      </w:r>
      <w:r>
        <w:t xml:space="preserve"> </w:t>
      </w:r>
      <w:r>
        <w:t xml:space="preserve">‘</w:t>
      </w:r>
      <w:r>
        <w:t xml:space="preserve">when</w:t>
      </w:r>
      <w:r>
        <w:t xml:space="preserve">’</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p>
      <w:pPr>
        <w:pStyle w:val="BodyText"/>
      </w:pPr>
      <w:r>
        <w:t xml:space="preserve">## BBF Deviation Guidelines {.new-file}</w:t>
      </w:r>
    </w:p>
    <w:p>
      <w:pPr>
        <w:pStyle w:val="BodyText"/>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End w:id="131"/>
    <w:bookmarkStart w:id="132"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30"/>
        </w:numPr>
        <w:pStyle w:val="Compact"/>
      </w:pPr>
      <w:r>
        <w:t xml:space="preserve">not-supported</w:t>
      </w:r>
    </w:p>
    <w:p>
      <w:pPr>
        <w:numPr>
          <w:ilvl w:val="1"/>
          <w:numId w:val="1031"/>
        </w:numPr>
        <w:pStyle w:val="Compact"/>
      </w:pPr>
      <w:r>
        <w:t xml:space="preserve">Indicates the target node is not implemented by the server.</w:t>
      </w:r>
    </w:p>
    <w:p>
      <w:pPr>
        <w:numPr>
          <w:ilvl w:val="0"/>
          <w:numId w:val="1030"/>
        </w:numPr>
        <w:pStyle w:val="Compact"/>
      </w:pPr>
      <w:r>
        <w:t xml:space="preserve">add</w:t>
      </w:r>
    </w:p>
    <w:p>
      <w:pPr>
        <w:numPr>
          <w:ilvl w:val="1"/>
          <w:numId w:val="1032"/>
        </w:numPr>
        <w:pStyle w:val="Compact"/>
      </w:pPr>
      <w:r>
        <w:t xml:space="preserve">Adds properties to the target node so long as they do not already exist.</w:t>
      </w:r>
    </w:p>
    <w:p>
      <w:pPr>
        <w:numPr>
          <w:ilvl w:val="0"/>
          <w:numId w:val="1030"/>
        </w:numPr>
        <w:pStyle w:val="Compact"/>
      </w:pPr>
      <w:r>
        <w:t xml:space="preserve">replace</w:t>
      </w:r>
    </w:p>
    <w:p>
      <w:pPr>
        <w:numPr>
          <w:ilvl w:val="1"/>
          <w:numId w:val="1033"/>
        </w:numPr>
        <w:pStyle w:val="Compact"/>
      </w:pPr>
      <w:r>
        <w:t xml:space="preserve">Replaces properties of the target node so long as they already exist.</w:t>
      </w:r>
    </w:p>
    <w:p>
      <w:pPr>
        <w:numPr>
          <w:ilvl w:val="0"/>
          <w:numId w:val="1030"/>
        </w:numPr>
        <w:pStyle w:val="Compact"/>
      </w:pPr>
      <w:r>
        <w:t xml:space="preserve">delete</w:t>
      </w:r>
    </w:p>
    <w:p>
      <w:pPr>
        <w:numPr>
          <w:ilvl w:val="1"/>
          <w:numId w:val="1034"/>
        </w:numPr>
        <w:pStyle w:val="Compact"/>
      </w:pPr>
      <w:r>
        <w:t xml:space="preserve">Deletes existing properties of the target node.</w:t>
      </w:r>
    </w:p>
    <w:bookmarkEnd w:id="132"/>
    <w:bookmarkStart w:id="133"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3"/>
    <w:bookmarkStart w:id="134"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4"/>
    <w:bookmarkStart w:id="135"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5"/>
    <w:bookmarkStart w:id="136"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6"/>
    <w:bookmarkStart w:id="137"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7"/>
    <w:bookmarkStart w:id="138"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8"/>
    <w:bookmarkEnd w:id="139"/>
    <w:bookmarkStart w:id="151"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35"/>
        </w:numPr>
        <w:pStyle w:val="Compact"/>
      </w:pPr>
      <w:r>
        <w:t xml:space="preserve">IEEE Std. 260.1</w:t>
      </w:r>
    </w:p>
    <w:p>
      <w:pPr>
        <w:numPr>
          <w:ilvl w:val="0"/>
          <w:numId w:val="1035"/>
        </w:numPr>
        <w:pStyle w:val="Compact"/>
      </w:pPr>
      <w:hyperlink r:id="rId140">
        <w:r>
          <w:rPr>
            <w:rStyle w:val="Hyperlink"/>
          </w:rPr>
          <w:t xml:space="preserve">NIST Special Publication 811</w:t>
        </w:r>
      </w:hyperlink>
    </w:p>
    <w:bookmarkStart w:id="141"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jc w:val="start"/>
        <w:tblLayout w:type="fixed"/>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41"/>
    <w:bookmarkStart w:id="142"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42"/>
    <w:bookmarkStart w:id="143"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3"/>
    <w:bookmarkStart w:id="144"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4"/>
    <w:bookmarkStart w:id="145"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5"/>
    <w:bookmarkStart w:id="146"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46"/>
    <w:bookmarkStart w:id="147"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47"/>
    <w:bookmarkStart w:id="148"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48"/>
    <w:bookmarkStart w:id="149"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49"/>
    <w:bookmarkStart w:id="150"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36"/>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36"/>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36"/>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0"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0"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2024-01-17T17:27:06Z</dcterms:created>
  <dcterms:modified xsi:type="dcterms:W3CDTF">2024-01-17T17:27:06Z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id">
    <vt:lpwstr>title</vt:lpwstr>
  </property>
  <property fmtid="{D5CDD505-2E9C-101B-9397-08002B2CF9AE}" pid="55" name="uspAcknowledgmentsSpec">
    <vt:lpwstr/>
  </property>
  <property fmtid="{D5CDD505-2E9C-101B-9397-08002B2CF9AE}" pid="56" name="uspEditorsSpec">
    <vt:lpwstr/>
  </property>
  <property fmtid="{D5CDD505-2E9C-101B-9397-08002B2CF9AE}" pid="57" name="uspPSLsSpec">
    <vt:lpwstr/>
  </property>
  <property fmtid="{D5CDD505-2E9C-101B-9397-08002B2CF9AE}" pid="58" name="uspRevisionHistorySpec">
    <vt:lpwstr/>
  </property>
  <property fmtid="{D5CDD505-2E9C-101B-9397-08002B2CF9AE}" pid="59" name="uspWADsSpec">
    <vt:lpwstr/>
  </property>
  <property fmtid="{D5CDD505-2E9C-101B-9397-08002B2CF9AE}" pid="60" name="version">
    <vt:lpwstr/>
  </property>
</Properties>
</file>