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 – Broadband Forum YANG Modules</w:t>
      </w:r>
    </w:p>
    <w:p>
      <w:pPr>
        <w:pStyle w:val="Subtitle"/>
      </w:pPr>
      <w:r>
        <w:t xml:space="preserve">Issue: 1 Amendment 2 </w:t>
      </w:r>
    </w:p>
    <w:p>
      <w:pPr>
        <w:pStyle w:val="Date"/>
      </w:pPr>
      <w:r>
        <w:t xml:space="preserve">Issue Date: January 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
          <w:bCs/>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
          <w:bCs/>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
          <w:bCs/>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6" w:name="sec:bbfissue-history"/>
    <w:p>
      <w:pPr>
        <w:pStyle w:val="Heading3"/>
      </w:pPr>
      <w:r>
        <w:t xml:space="preserve">Issue History</w:t>
      </w:r>
    </w:p>
    <w:tbl>
      <w:tblPr>
        <w:tblStyle w:val="Table"/>
        <w:tblW w:type="pct" w:w="4953"/>
        <w:tblLayout w:type="fixed"/>
        <w:tblLook w:firstRow="1" w:lastRow="0" w:firstColumn="0" w:lastColumn="0" w:noHBand="0" w:noVBand="0" w:val="0020"/>
      </w:tblPr>
      <w:tblGrid>
        <w:gridCol w:w="1110"/>
        <w:gridCol w:w="1258"/>
        <w:gridCol w:w="1258"/>
        <w:gridCol w:w="4219"/>
      </w:tblGrid>
      <w:tr>
        <w:trPr>
          <w:tblHeader w:val="on"/>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r>
        <w:tc>
          <w:tcPr/>
          <w:p>
            <w:pPr>
              <w:pStyle w:val="Compact"/>
              <w:jc w:val="left"/>
            </w:pPr>
            <w:r>
              <w:t xml:space="preserve">Issue 1 Amendment 1</w:t>
            </w:r>
          </w:p>
        </w:tc>
        <w:tc>
          <w:tcPr/>
          <w:p>
            <w:pPr>
              <w:pStyle w:val="Compact"/>
              <w:jc w:val="left"/>
            </w:pPr>
            <w:r>
              <w:t xml:space="preserve">15 March 2023</w:t>
            </w:r>
          </w:p>
        </w:tc>
        <w:tc>
          <w:tcPr/>
          <w:p>
            <w:pPr>
              <w:pStyle w:val="Compact"/>
              <w:jc w:val="left"/>
            </w:pPr>
            <w:r>
              <w:t xml:space="preserve">Joey Boyd, Adtran</w:t>
            </w:r>
          </w:p>
        </w:tc>
        <w:tc>
          <w:tcPr/>
          <w:p>
            <w:pPr>
              <w:pStyle w:val="Compact"/>
              <w:jc w:val="left"/>
            </w:pPr>
            <w:r>
              <w:t xml:space="preserve">Add</w:t>
            </w:r>
            <w:r>
              <w:t xml:space="preserve"> </w:t>
            </w:r>
            <w:r>
              <w:t xml:space="preserve">‘units’</w:t>
            </w:r>
            <w:r>
              <w:t xml:space="preserve"> </w:t>
            </w:r>
            <w:r>
              <w:t xml:space="preserve">statement guidelines</w:t>
            </w:r>
          </w:p>
        </w:tc>
      </w:tr>
      <w:tr>
        <w:tc>
          <w:tcPr/>
          <w:p>
            <w:pPr>
              <w:pStyle w:val="Compact"/>
              <w:jc w:val="left"/>
            </w:pPr>
            <w:r>
              <w:t xml:space="preserve">Issue 1 Amendment 2</w:t>
            </w:r>
          </w:p>
        </w:tc>
        <w:tc>
          <w:tcPr/>
          <w:p>
            <w:pPr>
              <w:pStyle w:val="Compact"/>
              <w:jc w:val="left"/>
            </w:pPr>
            <w:r>
              <w:t xml:space="preserve">19 January 2024</w:t>
            </w:r>
          </w:p>
        </w:tc>
        <w:tc>
          <w:tcPr/>
          <w:p>
            <w:pPr>
              <w:pStyle w:val="Compact"/>
              <w:jc w:val="left"/>
            </w:pPr>
            <w:r>
              <w:t xml:space="preserve">Joey Boyd, Adtran</w:t>
            </w:r>
          </w:p>
        </w:tc>
        <w:tc>
          <w:tcPr/>
          <w:p>
            <w:pPr>
              <w:pStyle w:val="Compact"/>
              <w:jc w:val="left"/>
            </w:pPr>
            <w:r>
              <w:t xml:space="preserve">Add new IETF guidelines IETF-21 and IETF-22. Add new BBF guidelines BBF-21 through BBF-29. Address minor corrections to existing guidelines.</w:t>
            </w:r>
          </w:p>
        </w:tc>
      </w:tr>
    </w:tbl>
    <w:p>
      <w:pPr>
        <w:pStyle w:val="BodyText"/>
      </w:pPr>
      <w:r>
        <w:t xml:space="preserve">Comments or questions about this Broadband Forum document should be</w:t>
      </w:r>
      <w:r>
        <w:t xml:space="preserve"> </w:t>
      </w:r>
      <w:r>
        <w:t xml:space="preserve">directed to</w:t>
      </w:r>
      <w:r>
        <w:t xml:space="preserve"> </w:t>
      </w:r>
      <w:hyperlink r:id="rId25">
        <w:r>
          <w:rPr>
            <w:rStyle w:val="Hyperlink"/>
          </w:rPr>
          <w:t xml:space="preserve">info@broadband-forum.org</w:t>
        </w:r>
      </w:hyperlink>
      <w:r>
        <w:t xml:space="preserve">.</w:t>
      </w:r>
    </w:p>
    <w:bookmarkEnd w:id="26"/>
    <w:bookmarkStart w:id="38" w:name="sec:references"/>
    <w:p>
      <w:pPr>
        <w:pStyle w:val="Heading1"/>
      </w:pPr>
      <w:r>
        <w:t xml:space="preserve">References</w:t>
      </w:r>
    </w:p>
    <w:bookmarkStart w:id="37" w:name="refs"/>
    <w:bookmarkStart w:id="28" w:name="ref-RFC2119"/>
    <w:p>
      <w:pPr>
        <w:pStyle w:val="Bibliography"/>
      </w:pPr>
      <w:r>
        <w:t xml:space="preserve">[1]</w:t>
      </w:r>
      <w:r>
        <w:t xml:space="preserve"> </w:t>
      </w:r>
      <w:r>
        <w:t xml:space="preserve">	</w:t>
      </w:r>
      <w:r>
        <w:t xml:space="preserve">RFC 2119,</w:t>
      </w:r>
      <w:r>
        <w:t xml:space="preserve"> </w:t>
      </w:r>
      <w:hyperlink r:id="rId27">
        <w:r>
          <w:rPr>
            <w:rStyle w:val="Hyperlink"/>
            <w:i/>
            <w:iCs/>
          </w:rPr>
          <w:t xml:space="preserve">Key words for use in</w:t>
        </w:r>
        <w:r>
          <w:rPr>
            <w:rStyle w:val="Hyperlink"/>
            <w:i/>
            <w:iCs/>
          </w:rPr>
          <w:t xml:space="preserve"> </w:t>
        </w:r>
        <w:r>
          <w:rPr>
            <w:rStyle w:val="Hyperlink"/>
            <w:i/>
            <w:iCs/>
          </w:rPr>
          <w:t xml:space="preserve">RFCs</w:t>
        </w:r>
        <w:r>
          <w:rPr>
            <w:rStyle w:val="Hyperlink"/>
            <w:i/>
            <w:iCs/>
          </w:rPr>
          <w:t xml:space="preserve"> </w:t>
        </w:r>
        <w:r>
          <w:rPr>
            <w:rStyle w:val="Hyperlink"/>
            <w:i/>
            <w:iCs/>
          </w:rPr>
          <w:t xml:space="preserve">to</w:t>
        </w:r>
        <w:r>
          <w:rPr>
            <w:rStyle w:val="Hyperlink"/>
            <w:i/>
            <w:iCs/>
          </w:rPr>
          <w:t xml:space="preserve"> </w:t>
        </w:r>
        <w:r>
          <w:rPr>
            <w:rStyle w:val="Hyperlink"/>
            <w:i/>
            <w:iCs/>
          </w:rPr>
          <w:t xml:space="preserve">Indicate</w:t>
        </w:r>
        <w:r>
          <w:rPr>
            <w:rStyle w:val="Hyperlink"/>
            <w:i/>
            <w:iCs/>
          </w:rPr>
          <w:t xml:space="preserve"> </w:t>
        </w:r>
        <w:r>
          <w:rPr>
            <w:rStyle w:val="Hyperlink"/>
            <w:i/>
            <w:iCs/>
          </w:rPr>
          <w:t xml:space="preserve">Requirement</w:t>
        </w:r>
        <w:r>
          <w:rPr>
            <w:rStyle w:val="Hyperlink"/>
            <w:i/>
            <w:iCs/>
          </w:rPr>
          <w:t xml:space="preserve"> </w:t>
        </w:r>
        <w:r>
          <w:rPr>
            <w:rStyle w:val="Hyperlink"/>
            <w:i/>
            <w:iCs/>
          </w:rPr>
          <w:t xml:space="preserve">Levels</w:t>
        </w:r>
      </w:hyperlink>
      <w:r>
        <w:t xml:space="preserve">, IETF, 1997</w:t>
      </w:r>
    </w:p>
    <w:bookmarkEnd w:id="28"/>
    <w:bookmarkStart w:id="30" w:name="ref-RFC7223"/>
    <w:p>
      <w:pPr>
        <w:pStyle w:val="Bibliography"/>
      </w:pPr>
      <w:r>
        <w:t xml:space="preserve">[2]</w:t>
      </w:r>
      <w:r>
        <w:t xml:space="preserve"> </w:t>
      </w:r>
      <w:r>
        <w:t xml:space="preserve">	</w:t>
      </w:r>
      <w:r>
        <w:t xml:space="preserve">RFC 7223,</w:t>
      </w:r>
      <w:r>
        <w:t xml:space="preserve"> </w:t>
      </w:r>
      <w:hyperlink r:id="rId29">
        <w:r>
          <w:rPr>
            <w:rStyle w:val="Hyperlink"/>
            <w:i/>
            <w:iCs/>
          </w:rPr>
          <w:t xml:space="preserve">A</w:t>
        </w:r>
        <w:r>
          <w:rPr>
            <w:rStyle w:val="Hyperlink"/>
            <w:i/>
            <w:iCs/>
          </w:rPr>
          <w:t xml:space="preserve"> </w:t>
        </w:r>
        <w:r>
          <w:rPr>
            <w:rStyle w:val="Hyperlink"/>
            <w:i/>
            <w:iCs/>
          </w:rPr>
          <w:t xml:space="preserve">YANG</w:t>
        </w:r>
        <w:r>
          <w:rPr>
            <w:rStyle w:val="Hyperlink"/>
            <w:i/>
            <w:iCs/>
          </w:rPr>
          <w:t xml:space="preserve"> </w:t>
        </w:r>
        <w:r>
          <w:rPr>
            <w:rStyle w:val="Hyperlink"/>
            <w:i/>
            <w:iCs/>
          </w:rPr>
          <w:t xml:space="preserve">Data</w:t>
        </w:r>
        <w:r>
          <w:rPr>
            <w:rStyle w:val="Hyperlink"/>
            <w:i/>
            <w:iCs/>
          </w:rPr>
          <w:t xml:space="preserve"> </w:t>
        </w:r>
        <w:r>
          <w:rPr>
            <w:rStyle w:val="Hyperlink"/>
            <w:i/>
            <w:iCs/>
          </w:rPr>
          <w:t xml:space="preserve">Model</w:t>
        </w:r>
        <w:r>
          <w:rPr>
            <w:rStyle w:val="Hyperlink"/>
            <w:i/>
            <w:iCs/>
          </w:rPr>
          <w:t xml:space="preserve"> </w:t>
        </w:r>
        <w:r>
          <w:rPr>
            <w:rStyle w:val="Hyperlink"/>
            <w:i/>
            <w:iCs/>
          </w:rPr>
          <w:t xml:space="preserve">for</w:t>
        </w:r>
        <w:r>
          <w:rPr>
            <w:rStyle w:val="Hyperlink"/>
            <w:i/>
            <w:iCs/>
          </w:rPr>
          <w:t xml:space="preserve"> </w:t>
        </w:r>
        <w:r>
          <w:rPr>
            <w:rStyle w:val="Hyperlink"/>
            <w:i/>
            <w:iCs/>
          </w:rPr>
          <w:t xml:space="preserve">Interface</w:t>
        </w:r>
        <w:r>
          <w:rPr>
            <w:rStyle w:val="Hyperlink"/>
            <w:i/>
            <w:iCs/>
          </w:rPr>
          <w:t xml:space="preserve"> </w:t>
        </w:r>
        <w:r>
          <w:rPr>
            <w:rStyle w:val="Hyperlink"/>
            <w:i/>
            <w:iCs/>
          </w:rPr>
          <w:t xml:space="preserve">Management</w:t>
        </w:r>
      </w:hyperlink>
      <w:r>
        <w:t xml:space="preserve">, IETF, 2014</w:t>
      </w:r>
    </w:p>
    <w:bookmarkEnd w:id="30"/>
    <w:bookmarkStart w:id="32" w:name="ref-RFC7950"/>
    <w:p>
      <w:pPr>
        <w:pStyle w:val="Bibliography"/>
      </w:pPr>
      <w:r>
        <w:t xml:space="preserve">[3]</w:t>
      </w:r>
      <w:r>
        <w:t xml:space="preserve"> </w:t>
      </w:r>
      <w:r>
        <w:t xml:space="preserve">	</w:t>
      </w:r>
      <w:r>
        <w:t xml:space="preserve">RFC 7950,</w:t>
      </w:r>
      <w:r>
        <w:t xml:space="preserve"> </w:t>
      </w:r>
      <w:hyperlink r:id="rId31">
        <w:r>
          <w:rPr>
            <w:rStyle w:val="Hyperlink"/>
            <w:i/>
            <w:iCs/>
          </w:rPr>
          <w:t xml:space="preserve">The</w:t>
        </w:r>
        <w:r>
          <w:rPr>
            <w:rStyle w:val="Hyperlink"/>
            <w:i/>
            <w:iCs/>
          </w:rPr>
          <w:t xml:space="preserve"> </w:t>
        </w:r>
        <w:r>
          <w:rPr>
            <w:rStyle w:val="Hyperlink"/>
            <w:i/>
            <w:iCs/>
          </w:rPr>
          <w:t xml:space="preserve">YANG</w:t>
        </w:r>
        <w:r>
          <w:rPr>
            <w:rStyle w:val="Hyperlink"/>
            <w:i/>
            <w:iCs/>
          </w:rPr>
          <w:t xml:space="preserve"> </w:t>
        </w:r>
        <w:r>
          <w:rPr>
            <w:rStyle w:val="Hyperlink"/>
            <w:i/>
            <w:iCs/>
          </w:rPr>
          <w:t xml:space="preserve">1.1</w:t>
        </w:r>
        <w:r>
          <w:rPr>
            <w:rStyle w:val="Hyperlink"/>
            <w:i/>
            <w:iCs/>
          </w:rPr>
          <w:t xml:space="preserve"> </w:t>
        </w:r>
        <w:r>
          <w:rPr>
            <w:rStyle w:val="Hyperlink"/>
            <w:i/>
            <w:iCs/>
          </w:rPr>
          <w:t xml:space="preserve">Data</w:t>
        </w:r>
        <w:r>
          <w:rPr>
            <w:rStyle w:val="Hyperlink"/>
            <w:i/>
            <w:iCs/>
          </w:rPr>
          <w:t xml:space="preserve"> </w:t>
        </w:r>
        <w:r>
          <w:rPr>
            <w:rStyle w:val="Hyperlink"/>
            <w:i/>
            <w:iCs/>
          </w:rPr>
          <w:t xml:space="preserve">Modeling</w:t>
        </w:r>
        <w:r>
          <w:rPr>
            <w:rStyle w:val="Hyperlink"/>
            <w:i/>
            <w:iCs/>
          </w:rPr>
          <w:t xml:space="preserve"> </w:t>
        </w:r>
        <w:r>
          <w:rPr>
            <w:rStyle w:val="Hyperlink"/>
            <w:i/>
            <w:iCs/>
          </w:rPr>
          <w:t xml:space="preserve">Language</w:t>
        </w:r>
      </w:hyperlink>
      <w:r>
        <w:t xml:space="preserve">, IETF, 2016</w:t>
      </w:r>
    </w:p>
    <w:bookmarkEnd w:id="32"/>
    <w:bookmarkStart w:id="34" w:name="ref-RFC8174"/>
    <w:p>
      <w:pPr>
        <w:pStyle w:val="Bibliography"/>
      </w:pPr>
      <w:r>
        <w:t xml:space="preserve">[4]</w:t>
      </w:r>
      <w:r>
        <w:t xml:space="preserve"> </w:t>
      </w:r>
      <w:r>
        <w:t xml:space="preserve">	</w:t>
      </w:r>
      <w:r>
        <w:t xml:space="preserve">RFC 8174,</w:t>
      </w:r>
      <w:r>
        <w:t xml:space="preserve"> </w:t>
      </w:r>
      <w:hyperlink r:id="rId33">
        <w:r>
          <w:rPr>
            <w:rStyle w:val="Hyperlink"/>
            <w:i/>
            <w:iCs/>
          </w:rPr>
          <w:t xml:space="preserve">Ambiguity of</w:t>
        </w:r>
        <w:r>
          <w:rPr>
            <w:rStyle w:val="Hyperlink"/>
            <w:i/>
            <w:iCs/>
          </w:rPr>
          <w:t xml:space="preserve"> </w:t>
        </w:r>
        <w:r>
          <w:rPr>
            <w:rStyle w:val="Hyperlink"/>
            <w:i/>
            <w:iCs/>
          </w:rPr>
          <w:t xml:space="preserve">Uppercase</w:t>
        </w:r>
        <w:r>
          <w:rPr>
            <w:rStyle w:val="Hyperlink"/>
            <w:i/>
            <w:iCs/>
          </w:rPr>
          <w:t xml:space="preserve"> </w:t>
        </w:r>
        <w:r>
          <w:rPr>
            <w:rStyle w:val="Hyperlink"/>
            <w:i/>
            <w:iCs/>
          </w:rPr>
          <w:t xml:space="preserve">vs</w:t>
        </w:r>
        <w:r>
          <w:rPr>
            <w:rStyle w:val="Hyperlink"/>
            <w:i/>
            <w:iCs/>
          </w:rPr>
          <w:t xml:space="preserve"> </w:t>
        </w:r>
        <w:r>
          <w:rPr>
            <w:rStyle w:val="Hyperlink"/>
            <w:i/>
            <w:iCs/>
          </w:rPr>
          <w:t xml:space="preserve">Lowercase</w:t>
        </w:r>
        <w:r>
          <w:rPr>
            <w:rStyle w:val="Hyperlink"/>
            <w:i/>
            <w:iCs/>
          </w:rPr>
          <w:t xml:space="preserve"> </w:t>
        </w:r>
        <w:r>
          <w:rPr>
            <w:rStyle w:val="Hyperlink"/>
            <w:i/>
            <w:iCs/>
          </w:rPr>
          <w:t xml:space="preserve">in</w:t>
        </w:r>
        <w:r>
          <w:rPr>
            <w:rStyle w:val="Hyperlink"/>
            <w:i/>
            <w:iCs/>
          </w:rPr>
          <w:t xml:space="preserve"> </w:t>
        </w:r>
        <w:r>
          <w:rPr>
            <w:rStyle w:val="Hyperlink"/>
            <w:i/>
            <w:iCs/>
          </w:rPr>
          <w:t xml:space="preserve">RFC</w:t>
        </w:r>
        <w:r>
          <w:rPr>
            <w:rStyle w:val="Hyperlink"/>
            <w:i/>
            <w:iCs/>
          </w:rPr>
          <w:t xml:space="preserve"> </w:t>
        </w:r>
        <w:r>
          <w:rPr>
            <w:rStyle w:val="Hyperlink"/>
            <w:i/>
            <w:iCs/>
          </w:rPr>
          <w:t xml:space="preserve">2119</w:t>
        </w:r>
        <w:r>
          <w:rPr>
            <w:rStyle w:val="Hyperlink"/>
            <w:i/>
            <w:iCs/>
          </w:rPr>
          <w:t xml:space="preserve"> </w:t>
        </w:r>
        <w:r>
          <w:rPr>
            <w:rStyle w:val="Hyperlink"/>
            <w:i/>
            <w:iCs/>
          </w:rPr>
          <w:t xml:space="preserve">Key</w:t>
        </w:r>
        <w:r>
          <w:rPr>
            <w:rStyle w:val="Hyperlink"/>
            <w:i/>
            <w:iCs/>
          </w:rPr>
          <w:t xml:space="preserve"> </w:t>
        </w:r>
        <w:r>
          <w:rPr>
            <w:rStyle w:val="Hyperlink"/>
            <w:i/>
            <w:iCs/>
          </w:rPr>
          <w:t xml:space="preserve">Words</w:t>
        </w:r>
      </w:hyperlink>
      <w:r>
        <w:t xml:space="preserve">, IETF, 2017</w:t>
      </w:r>
    </w:p>
    <w:bookmarkEnd w:id="34"/>
    <w:bookmarkStart w:id="36" w:name="ref-RFC8407"/>
    <w:p>
      <w:pPr>
        <w:pStyle w:val="Bibliography"/>
      </w:pPr>
      <w:r>
        <w:t xml:space="preserve">[5]</w:t>
      </w:r>
      <w:r>
        <w:t xml:space="preserve"> </w:t>
      </w:r>
      <w:r>
        <w:t xml:space="preserve">	</w:t>
      </w:r>
      <w:r>
        <w:t xml:space="preserve">RFC 8407,</w:t>
      </w:r>
      <w:r>
        <w:t xml:space="preserve"> </w:t>
      </w:r>
      <w:hyperlink r:id="rId35">
        <w:r>
          <w:rPr>
            <w:rStyle w:val="Hyperlink"/>
            <w:i/>
            <w:iCs/>
          </w:rPr>
          <w:t xml:space="preserve">Guidelines for</w:t>
        </w:r>
        <w:r>
          <w:rPr>
            <w:rStyle w:val="Hyperlink"/>
            <w:i/>
            <w:iCs/>
          </w:rPr>
          <w:t xml:space="preserve"> </w:t>
        </w:r>
        <w:r>
          <w:rPr>
            <w:rStyle w:val="Hyperlink"/>
            <w:i/>
            <w:iCs/>
          </w:rPr>
          <w:t xml:space="preserve">Authors</w:t>
        </w:r>
        <w:r>
          <w:rPr>
            <w:rStyle w:val="Hyperlink"/>
            <w:i/>
            <w:iCs/>
          </w:rPr>
          <w:t xml:space="preserve"> </w:t>
        </w:r>
        <w:r>
          <w:rPr>
            <w:rStyle w:val="Hyperlink"/>
            <w:i/>
            <w:iCs/>
          </w:rPr>
          <w:t xml:space="preserve">and</w:t>
        </w:r>
        <w:r>
          <w:rPr>
            <w:rStyle w:val="Hyperlink"/>
            <w:i/>
            <w:iCs/>
          </w:rPr>
          <w:t xml:space="preserve"> </w:t>
        </w:r>
        <w:r>
          <w:rPr>
            <w:rStyle w:val="Hyperlink"/>
            <w:i/>
            <w:iCs/>
          </w:rPr>
          <w:t xml:space="preserve">Reviewers</w:t>
        </w:r>
        <w:r>
          <w:rPr>
            <w:rStyle w:val="Hyperlink"/>
            <w:i/>
            <w:iCs/>
          </w:rPr>
          <w:t xml:space="preserve"> </w:t>
        </w:r>
        <w:r>
          <w:rPr>
            <w:rStyle w:val="Hyperlink"/>
            <w:i/>
            <w:iCs/>
          </w:rPr>
          <w:t xml:space="preserve">of</w:t>
        </w:r>
        <w:r>
          <w:rPr>
            <w:rStyle w:val="Hyperlink"/>
            <w:i/>
            <w:iCs/>
          </w:rPr>
          <w:t xml:space="preserve"> </w:t>
        </w:r>
        <w:r>
          <w:rPr>
            <w:rStyle w:val="Hyperlink"/>
            <w:i/>
            <w:iCs/>
          </w:rPr>
          <w:t xml:space="preserve">Documents</w:t>
        </w:r>
        <w:r>
          <w:rPr>
            <w:rStyle w:val="Hyperlink"/>
            <w:i/>
            <w:iCs/>
          </w:rPr>
          <w:t xml:space="preserve"> </w:t>
        </w:r>
        <w:r>
          <w:rPr>
            <w:rStyle w:val="Hyperlink"/>
            <w:i/>
            <w:iCs/>
          </w:rPr>
          <w:t xml:space="preserve">Containing</w:t>
        </w:r>
        <w:r>
          <w:rPr>
            <w:rStyle w:val="Hyperlink"/>
            <w:i/>
            <w:iCs/>
          </w:rPr>
          <w:t xml:space="preserve"> </w:t>
        </w:r>
        <w:r>
          <w:rPr>
            <w:rStyle w:val="Hyperlink"/>
            <w:i/>
            <w:iCs/>
          </w:rPr>
          <w:t xml:space="preserve">YANG</w:t>
        </w:r>
        <w:r>
          <w:rPr>
            <w:rStyle w:val="Hyperlink"/>
            <w:i/>
            <w:iCs/>
          </w:rPr>
          <w:t xml:space="preserve"> </w:t>
        </w:r>
        <w:r>
          <w:rPr>
            <w:rStyle w:val="Hyperlink"/>
            <w:i/>
            <w:iCs/>
          </w:rPr>
          <w:t xml:space="preserve">Data</w:t>
        </w:r>
        <w:r>
          <w:rPr>
            <w:rStyle w:val="Hyperlink"/>
            <w:i/>
            <w:iCs/>
          </w:rPr>
          <w:t xml:space="preserve"> </w:t>
        </w:r>
        <w:r>
          <w:rPr>
            <w:rStyle w:val="Hyperlink"/>
            <w:i/>
            <w:iCs/>
          </w:rPr>
          <w:t xml:space="preserve">Models</w:t>
        </w:r>
      </w:hyperlink>
      <w:r>
        <w:t xml:space="preserve">, IETF, 2018</w:t>
      </w:r>
    </w:p>
    <w:bookmarkEnd w:id="36"/>
    <w:bookmarkEnd w:id="37"/>
    <w:bookmarkEnd w:id="38"/>
    <w:bookmarkStart w:id="40"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 The guidelines put forth by this document not only provide guidance for authors of BBF YANG models but are also enforced prior to YANG model publication to ensure a high level of quality and consistency across BBF projects.</w:t>
      </w:r>
    </w:p>
    <w:bookmarkStart w:id="39"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[3]</w:t>
        </w:r>
      </w:hyperlink>
      <w:r>
        <w:t xml:space="preserve"> </w:t>
      </w:r>
      <w:r>
        <w:t xml:space="preserve">for use in all BBF YANG Data Models.</w:t>
      </w:r>
    </w:p>
    <w:bookmarkEnd w:id="39"/>
    <w:bookmarkEnd w:id="40"/>
    <w:bookmarkStart w:id="153" w:name="sec:yang-guidelines"/>
    <w:p>
      <w:pPr>
        <w:pStyle w:val="Heading1"/>
      </w:pPr>
      <w:r>
        <w:t xml:space="preserve">YANG Guidelines</w:t>
      </w:r>
    </w:p>
    <w:p>
      <w:pPr>
        <w:pStyle w:val="FirstParagraph"/>
      </w:pPr>
      <w:r>
        <w:t xml:space="preserve">These YANG guidelines are organized as follows:</w:t>
      </w:r>
    </w:p>
    <w:p>
      <w:pPr>
        <w:pStyle w:val="Compact"/>
        <w:numPr>
          <w:ilvl w:val="0"/>
          <w:numId w:val="1003"/>
        </w:numPr>
      </w:pPr>
      <w:r>
        <w:t xml:space="preserve">Those based on IETF YANG Guidelines</w:t>
      </w:r>
    </w:p>
    <w:p>
      <w:pPr>
        <w:pStyle w:val="Compact"/>
        <w:numPr>
          <w:ilvl w:val="0"/>
          <w:numId w:val="1003"/>
        </w:numPr>
      </w:pPr>
      <w:r>
        <w:t xml:space="preserve">Additional BBF-specific guidelines</w:t>
      </w:r>
    </w:p>
    <w:bookmarkStart w:id="41"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41"/>
    <w:bookmarkStart w:id="43" w:name="sec:template"/>
    <w:p>
      <w:pPr>
        <w:pStyle w:val="Heading2"/>
      </w:pPr>
      <w:r>
        <w:t xml:space="preserve">Template</w:t>
      </w:r>
    </w:p>
    <w:p>
      <w:pPr>
        <w:pStyle w:val="FirstParagraph"/>
      </w:pPr>
      <w:r>
        <w:t xml:space="preserve">New YANG modules MAY be created from the BBF template as shown here:</w:t>
      </w:r>
      <w:r>
        <w:t xml:space="preserve"> </w:t>
      </w:r>
      <w:hyperlink r:id="rId42">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43"/>
    <w:bookmarkStart w:id="93"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[5]</w:t>
        </w:r>
      </w:hyperlink>
      <w:r>
        <w:t xml:space="preserve">,</w:t>
      </w:r>
      <w:r>
        <w:t xml:space="preserve"> </w:t>
      </w:r>
      <w:r>
        <w:rPr>
          <w:b/>
          <w:bCs/>
        </w:rPr>
        <w:t xml:space="preserve">apply in their entirety to BBF YANG modules</w:t>
      </w:r>
      <w:r>
        <w:t xml:space="preserve">. However, they are aimed at IETF Standards Track YANG modules and contain some IETF specific guidelines that cannot be applied literally to BBF YANG modules.</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5" w:name="sec:ietf-1-yang-terms"/>
    <w:p>
      <w:pPr>
        <w:pStyle w:val="Heading3"/>
      </w:pPr>
      <w:r>
        <w:t xml:space="preserve">IETF-1: YANG Terms</w:t>
      </w:r>
    </w:p>
    <w:p>
      <w:pPr>
        <w:pStyle w:val="FirstParagraph"/>
      </w:pPr>
      <w:r>
        <w:rPr>
          <w:i/>
          <w:iCs/>
        </w:rPr>
        <w:t xml:space="preserve">This guideline extends section</w:t>
      </w:r>
      <w:r>
        <w:rPr>
          <w:i/>
          <w:iCs/>
        </w:rPr>
        <w:t xml:space="preserve"> </w:t>
      </w:r>
      <w:hyperlink r:id="rId44">
        <w:r>
          <w:rPr>
            <w:rStyle w:val="Hyperlink"/>
            <w:i/>
            <w:iCs/>
          </w:rPr>
          <w:t xml:space="preserve">2.2</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BBF YANG modules MUST use YANG terminology, e.g., when used in descriptions the terms SHOULD refer to</w:t>
      </w:r>
      <w:r>
        <w:t xml:space="preserve"> </w:t>
      </w:r>
      <w:r>
        <w:t xml:space="preserve">“data nodes”</w:t>
      </w:r>
      <w:r>
        <w:t xml:space="preserve">,</w:t>
      </w:r>
      <w:r>
        <w:t xml:space="preserve"> </w:t>
      </w:r>
      <w:r>
        <w:t xml:space="preserve">“containers”</w:t>
      </w:r>
      <w:r>
        <w:t xml:space="preserve">,</w:t>
      </w:r>
      <w:r>
        <w:t xml:space="preserve"> </w:t>
      </w:r>
      <w:r>
        <w:t xml:space="preserve">“lists”</w:t>
      </w:r>
      <w:r>
        <w:t xml:space="preserve">, etc. For example, do not use the term</w:t>
      </w:r>
      <w:r>
        <w:t xml:space="preserve"> </w:t>
      </w:r>
      <w:r>
        <w:t xml:space="preserve">“objects”</w:t>
      </w:r>
      <w:r>
        <w:t xml:space="preserve"> </w:t>
      </w:r>
      <w:r>
        <w:t xml:space="preserve">and instead refer to</w:t>
      </w:r>
      <w:r>
        <w:t xml:space="preserve"> </w:t>
      </w:r>
      <w:r>
        <w:t xml:space="preserve">“data nodes”</w:t>
      </w:r>
      <w:r>
        <w:t xml:space="preserve">.</w:t>
      </w:r>
    </w:p>
    <w:bookmarkEnd w:id="45"/>
    <w:bookmarkStart w:id="50" w:name="sec:ietf-2-yang-validation"/>
    <w:p>
      <w:pPr>
        <w:pStyle w:val="Heading3"/>
      </w:pPr>
      <w:r>
        <w:t xml:space="preserve">IETF-2: YANG Validation</w:t>
      </w:r>
    </w:p>
    <w:p>
      <w:pPr>
        <w:pStyle w:val="FirstParagraph"/>
      </w:pPr>
      <w:r>
        <w:rPr>
          <w:i/>
          <w:iCs/>
        </w:rPr>
        <w:t xml:space="preserve">This guideline overrides section</w:t>
      </w:r>
      <w:r>
        <w:rPr>
          <w:i/>
          <w:iCs/>
        </w:rPr>
        <w:t xml:space="preserve"> </w:t>
      </w:r>
      <w:hyperlink r:id="rId46">
        <w:r>
          <w:rPr>
            <w:rStyle w:val="Hyperlink"/>
            <w:i/>
            <w:iCs/>
          </w:rPr>
          <w:t xml:space="preserve">3.10</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BBF YANG modules MUST be validated using pyang 2.3.2 (or later). Validation MUST use the various</w:t>
      </w:r>
      <w:r>
        <w:t xml:space="preserve"> </w:t>
      </w:r>
      <w:r>
        <w:t xml:space="preserve">“lint”</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Alternatively, pyang provides the following BBF-specific option that performs the same checks as the options noted above.</w:t>
      </w:r>
    </w:p>
    <w:p>
      <w:pPr>
        <w:pStyle w:val="SourceCode"/>
      </w:pPr>
      <w:r>
        <w:rPr>
          <w:rStyle w:val="VerbatimChar"/>
        </w:rPr>
        <w:t xml:space="preserve">  --bbf</w:t>
      </w:r>
    </w:p>
    <w:p>
      <w:pPr>
        <w:pStyle w:val="FirstParagraph"/>
      </w:pPr>
      <w:r>
        <w:t xml:space="preserve">pyang can be installed via</w:t>
      </w:r>
      <w:r>
        <w:t xml:space="preserve"> </w:t>
      </w:r>
      <w:hyperlink r:id="rId47">
        <w:r>
          <w:rPr>
            <w:rStyle w:val="Hyperlink"/>
          </w:rPr>
          <w:t xml:space="preserve">PyPi</w:t>
        </w:r>
      </w:hyperlink>
      <w:r>
        <w:t xml:space="preserve">.</w:t>
      </w:r>
    </w:p>
    <w:p>
      <w:pPr>
        <w:pStyle w:val="BodyText"/>
      </w:pPr>
      <w:r>
        <w:t xml:space="preserve">The GitHub version of the pyang tool is available at</w:t>
      </w:r>
      <w:r>
        <w:t xml:space="preserve"> </w:t>
      </w:r>
      <w:hyperlink r:id="rId48">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9">
        <w:r>
          <w:rPr>
            <w:rStyle w:val="Hyperlink"/>
          </w:rPr>
          <w:t xml:space="preserve">https://hub.docker.com/r/broadbandforum/yangtools</w:t>
        </w:r>
      </w:hyperlink>
    </w:p>
    <w:bookmarkEnd w:id="50"/>
    <w:bookmarkStart w:id="52" w:name="sec:ietf-3-yang-usage-guidelines"/>
    <w:p>
      <w:pPr>
        <w:pStyle w:val="Heading3"/>
      </w:pPr>
      <w:r>
        <w:t xml:space="preserve">IETF-3: YANG Usage Guidelines</w:t>
      </w:r>
    </w:p>
    <w:p>
      <w:pPr>
        <w:pStyle w:val="FirstParagraph"/>
      </w:pPr>
      <w:r>
        <w:rPr>
          <w:i/>
          <w:iCs/>
        </w:rPr>
        <w:t xml:space="preserve">This guideline restates section</w:t>
      </w:r>
      <w:r>
        <w:rPr>
          <w:i/>
          <w:iCs/>
        </w:rPr>
        <w:t xml:space="preserve"> </w:t>
      </w:r>
      <w:hyperlink r:id="rId51">
        <w:r>
          <w:rPr>
            <w:rStyle w:val="Hyperlink"/>
            <w:i/>
            <w:iCs/>
          </w:rPr>
          <w:t xml:space="preserve">4</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 </w:t>
      </w:r>
      <w:r>
        <w:rPr>
          <w:i/>
          <w:iCs/>
        </w:rPr>
        <w:t xml:space="preserve">in the context of the BBF.</w:t>
      </w:r>
    </w:p>
    <w:p>
      <w:pPr>
        <w:pStyle w:val="BodyText"/>
      </w:pPr>
      <w:r>
        <w:t xml:space="preserve">BBF YANG modules MUST comply with all syntactic and semantic requirements of YANG 1.1</w:t>
      </w:r>
      <w:r>
        <w:t xml:space="preserve"> </w:t>
      </w:r>
      <w:hyperlink w:anchor="ref-RFC7950">
        <w:r>
          <w:rPr>
            <w:rStyle w:val="Hyperlink"/>
          </w:rPr>
          <w:t xml:space="preserve">[3]</w:t>
        </w:r>
      </w:hyperlink>
      <w:r>
        <w:t xml:space="preserve">.</w:t>
      </w:r>
    </w:p>
    <w:bookmarkEnd w:id="52"/>
    <w:bookmarkStart w:id="54" w:name="sec:ietf-4-file-layout"/>
    <w:p>
      <w:pPr>
        <w:pStyle w:val="Heading3"/>
      </w:pPr>
      <w:r>
        <w:t xml:space="preserve">IETF-4: File Layout</w:t>
      </w:r>
    </w:p>
    <w:p>
      <w:pPr>
        <w:pStyle w:val="FirstParagraph"/>
      </w:pPr>
      <w:r>
        <w:rPr>
          <w:i/>
          <w:iCs/>
        </w:rPr>
        <w:t xml:space="preserve">This guideline overrides section</w:t>
      </w:r>
      <w:r>
        <w:rPr>
          <w:i/>
          <w:iCs/>
        </w:rPr>
        <w:t xml:space="preserve"> </w:t>
      </w:r>
      <w:hyperlink r:id="rId53">
        <w:r>
          <w:rPr>
            <w:rStyle w:val="Hyperlink"/>
            <w:i/>
            <w:iCs/>
          </w:rPr>
          <w:t xml:space="preserve">5.2</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Each BBF YANG module or submodule MUST be stored within a BBF YANG repository in a file called &lt;module-name&gt;.yang or &lt;submodule-name&gt;.yang without revision-date in the name.</w:t>
      </w:r>
    </w:p>
    <w:bookmarkEnd w:id="54"/>
    <w:bookmarkStart w:id="56" w:name="sec:ietf-5-quoting"/>
    <w:p>
      <w:pPr>
        <w:pStyle w:val="Heading3"/>
      </w:pPr>
      <w:r>
        <w:t xml:space="preserve">IETF-5: Quoting</w:t>
      </w:r>
    </w:p>
    <w:p>
      <w:pPr>
        <w:pStyle w:val="FirstParagraph"/>
      </w:pPr>
      <w:r>
        <w:rPr>
          <w:i/>
          <w:iCs/>
        </w:rPr>
        <w:t xml:space="preserve">This guideline is an extension to section</w:t>
      </w:r>
      <w:r>
        <w:rPr>
          <w:i/>
          <w:iCs/>
        </w:rPr>
        <w:t xml:space="preserve"> </w:t>
      </w:r>
      <w:hyperlink r:id="rId55">
        <w:r>
          <w:rPr>
            <w:rStyle w:val="Hyperlink"/>
            <w:i/>
            <w:iCs/>
          </w:rPr>
          <w:t xml:space="preserve">6.1.3</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6"/>
    <w:bookmarkStart w:id="58" w:name="sec:ietf-6-module-naming-conventions"/>
    <w:p>
      <w:pPr>
        <w:pStyle w:val="Heading3"/>
      </w:pPr>
      <w:r>
        <w:t xml:space="preserve">IETF-6: Module Naming Conventions</w:t>
      </w:r>
    </w:p>
    <w:p>
      <w:pPr>
        <w:pStyle w:val="FirstParagraph"/>
      </w:pPr>
      <w:r>
        <w:rPr>
          <w:i/>
          <w:iCs/>
        </w:rPr>
        <w:t xml:space="preserve">This guideline overrides section</w:t>
      </w:r>
      <w:r>
        <w:rPr>
          <w:i/>
          <w:iCs/>
        </w:rPr>
        <w:t xml:space="preserve"> </w:t>
      </w:r>
      <w:hyperlink r:id="rId57">
        <w:r>
          <w:rPr>
            <w:rStyle w:val="Hyperlink"/>
            <w:i/>
            <w:iCs/>
          </w:rPr>
          <w:t xml:space="preserve">4.1</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&lt;module-name&gt; or &lt;submodule-name&gt; is the module name or submodule name, which (see below) MUST begin with the prefix</w:t>
      </w:r>
      <w:r>
        <w:t xml:space="preserve"> </w:t>
      </w:r>
      <w:r>
        <w:t xml:space="preserve">“bbf-”</w:t>
      </w:r>
      <w:r>
        <w:t xml:space="preserve">.</w:t>
      </w:r>
    </w:p>
    <w:p>
      <w:pPr>
        <w:pStyle w:val="BodyText"/>
      </w:pPr>
      <w:r>
        <w:t xml:space="preserve">The remainder of the section applies with appropriate translations of IETF terms to BBF terms, e.g.,</w:t>
      </w:r>
      <w:r>
        <w:t xml:space="preserve"> </w:t>
      </w:r>
      <w:r>
        <w:t xml:space="preserve">“IETF”</w:t>
      </w:r>
      <w:r>
        <w:t xml:space="preserve"> </w:t>
      </w:r>
      <w:r>
        <w:t xml:space="preserve">and</w:t>
      </w:r>
      <w:r>
        <w:t xml:space="preserve"> </w:t>
      </w:r>
      <w:r>
        <w:t xml:space="preserve">“IANA”</w:t>
      </w:r>
      <w:r>
        <w:t xml:space="preserve"> </w:t>
      </w:r>
      <w:r>
        <w:t xml:space="preserve">are read as</w:t>
      </w:r>
      <w:r>
        <w:t xml:space="preserve"> </w:t>
      </w:r>
      <w:r>
        <w:t xml:space="preserve">“BBF”</w:t>
      </w:r>
      <w:r>
        <w:t xml:space="preserve">, and the</w:t>
      </w:r>
      <w:r>
        <w:t xml:space="preserve"> </w:t>
      </w:r>
      <w:r>
        <w:t xml:space="preserve">“ietf-”</w:t>
      </w:r>
      <w:r>
        <w:t xml:space="preserve"> </w:t>
      </w:r>
      <w:r>
        <w:t xml:space="preserve">prefix is read as</w:t>
      </w:r>
      <w:r>
        <w:t xml:space="preserve"> </w:t>
      </w:r>
      <w:r>
        <w:t xml:space="preserve">“bbf-”</w:t>
      </w:r>
      <w:r>
        <w:t xml:space="preserve">.</w:t>
      </w:r>
    </w:p>
    <w:bookmarkEnd w:id="58"/>
    <w:bookmarkStart w:id="65" w:name="X6b1d9f9c38419ad118636afcc437f3f8656b382"/>
    <w:p>
      <w:pPr>
        <w:pStyle w:val="Heading3"/>
      </w:pPr>
      <w:r>
        <w:t xml:space="preserve">IETF-7: Module Header, Meta and Revision Statements</w:t>
      </w:r>
    </w:p>
    <w:p>
      <w:pPr>
        <w:pStyle w:val="FirstParagraph"/>
      </w:pPr>
      <w:r>
        <w:rPr>
          <w:i/>
          <w:iCs/>
        </w:rPr>
        <w:t xml:space="preserve">These guidelines override section</w:t>
      </w:r>
      <w:r>
        <w:rPr>
          <w:i/>
          <w:iCs/>
        </w:rPr>
        <w:t xml:space="preserve"> </w:t>
      </w:r>
      <w:hyperlink r:id="rId59">
        <w:r>
          <w:rPr>
            <w:rStyle w:val="Hyperlink"/>
            <w:i/>
            <w:iCs/>
          </w:rPr>
          <w:t xml:space="preserve">4.8</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bookmarkStart w:id="60" w:name="sec:namespace"/>
    <w:p>
      <w:pPr>
        <w:pStyle w:val="Heading4"/>
      </w:pPr>
      <w:r>
        <w:t xml:space="preserve">namespace</w:t>
      </w:r>
    </w:p>
    <w:p>
      <w:pPr>
        <w:pStyle w:val="FirstParagraph"/>
      </w:pPr>
      <w:r>
        <w:t xml:space="preserve">See IETF-9.</w:t>
      </w:r>
    </w:p>
    <w:bookmarkEnd w:id="60"/>
    <w:bookmarkStart w:id="61"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61"/>
    <w:bookmarkStart w:id="62"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&lt;mailto:help@broadband-forum.org&gt;.</w:t>
      </w:r>
    </w:p>
    <w:p>
      <w:pPr>
        <w:pStyle w:val="FirstParagraph"/>
      </w:pPr>
      <w:r>
        <w:t xml:space="preserve">Followed by:</w:t>
      </w:r>
    </w:p>
    <w:p>
      <w:pPr>
        <w:pStyle w:val="Compact"/>
        <w:numPr>
          <w:ilvl w:val="0"/>
          <w:numId w:val="1005"/>
        </w:numPr>
      </w:pPr>
      <w:r>
        <w:t xml:space="preserve">Editor name(s) and affiliation(s)</w:t>
      </w:r>
    </w:p>
    <w:p>
      <w:pPr>
        <w:pStyle w:val="Compact"/>
        <w:numPr>
          <w:ilvl w:val="0"/>
          <w:numId w:val="1005"/>
        </w:numPr>
      </w:pPr>
      <w:r>
        <w:t xml:space="preserve">Project Stream Leader name(s) and affiliation(s) - omit if no Project Stream Leader</w:t>
      </w:r>
    </w:p>
    <w:p>
      <w:pPr>
        <w:pStyle w:val="Compact"/>
        <w:numPr>
          <w:ilvl w:val="0"/>
          <w:numId w:val="1005"/>
        </w:numPr>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62"/>
    <w:bookmarkStart w:id="63" w:name="sec:description"/>
    <w:p>
      <w:pPr>
        <w:pStyle w:val="Heading4"/>
      </w:pPr>
      <w:r>
        <w:t xml:space="preserve">description</w:t>
      </w:r>
    </w:p>
    <w:p>
      <w:pPr>
        <w:pStyle w:val="FirstParagraph"/>
      </w:pPr>
      <w:r>
        <w:t xml:space="preserve">See IETF-8.</w:t>
      </w:r>
    </w:p>
    <w:bookmarkEnd w:id="63"/>
    <w:bookmarkStart w:id="64" w:name="sec:revision"/>
    <w:p>
      <w:pPr>
        <w:pStyle w:val="Heading4"/>
      </w:pPr>
      <w:r>
        <w:t xml:space="preserve">revision</w:t>
      </w:r>
    </w:p>
    <w:p>
      <w:pPr>
        <w:pStyle w:val="FirstParagraph"/>
      </w:pPr>
      <w:r>
        <w:t xml:space="preserve">The guidelines from RFC 8407 apply with the following modifications:</w:t>
      </w:r>
    </w:p>
    <w:p>
      <w:pPr>
        <w:pStyle w:val="Compact"/>
        <w:numPr>
          <w:ilvl w:val="0"/>
          <w:numId w:val="1006"/>
        </w:numPr>
      </w:pPr>
      <w:r>
        <w:t xml:space="preserve">The guidelines relating to the reference substatement are replaced with a guideline to reference the associated TR Issue, Amendment (if any) and Corrigendum.</w:t>
      </w:r>
    </w:p>
    <w:p>
      <w:pPr>
        <w:pStyle w:val="Compact"/>
        <w:numPr>
          <w:ilvl w:val="0"/>
          <w:numId w:val="1006"/>
        </w:numPr>
      </w:pPr>
      <w:r>
        <w:t xml:space="preserve">The guidelines relating to reuse of the same revision statement within unpublished versions are reworded to refer only to</w:t>
      </w:r>
      <w:r>
        <w:t xml:space="preserve"> </w:t>
      </w:r>
      <w:r>
        <w:t xml:space="preserve">“versions”</w:t>
      </w:r>
      <w:r>
        <w:t xml:space="preserve"> </w:t>
      </w:r>
      <w:r>
        <w:t xml:space="preserve">and not to</w:t>
      </w:r>
      <w:r>
        <w:t xml:space="preserve"> </w:t>
      </w:r>
      <w:r>
        <w:t xml:space="preserve">“Internet-Drafts”</w:t>
      </w:r>
      <w:r>
        <w:t xml:space="preserve">.</w:t>
      </w:r>
    </w:p>
    <w:p>
      <w:pPr>
        <w:pStyle w:val="FirstParagraph"/>
      </w:pPr>
      <w:r>
        <w:t xml:space="preserve">References to associated TRs use</w:t>
      </w:r>
      <w:r>
        <w:t xml:space="preserve"> </w:t>
      </w:r>
      <w:r>
        <w:t xml:space="preserve">“abbreviated”</w:t>
      </w:r>
      <w:r>
        <w:t xml:space="preserve"> </w:t>
      </w:r>
      <w:r>
        <w:t xml:space="preserve">TR names, e.g.,</w:t>
      </w:r>
      <w:r>
        <w:t xml:space="preserve"> </w:t>
      </w:r>
      <w:r>
        <w:t xml:space="preserve">“TR-101i2”</w:t>
      </w:r>
      <w:r>
        <w:t xml:space="preserve"> </w:t>
      </w:r>
      <w:r>
        <w:t xml:space="preserve">or</w:t>
      </w:r>
      <w:r>
        <w:t xml:space="preserve"> </w:t>
      </w:r>
      <w:r>
        <w:t xml:space="preserve">“TR-383a6”</w:t>
      </w:r>
      <w:r>
        <w:t xml:space="preserve">.</w:t>
      </w:r>
    </w:p>
    <w:bookmarkEnd w:id="64"/>
    <w:bookmarkEnd w:id="65"/>
    <w:bookmarkStart w:id="66" w:name="X08b3505cb90c3b604f08700e4b6751d9d44e4a3"/>
    <w:p>
      <w:pPr>
        <w:pStyle w:val="Heading3"/>
      </w:pPr>
      <w:r>
        <w:t xml:space="preserve">IETF-8: Module Header, Meta and Revision Statements - Top Level Description</w:t>
      </w:r>
    </w:p>
    <w:p>
      <w:pPr>
        <w:pStyle w:val="FirstParagraph"/>
      </w:pPr>
      <w:r>
        <w:rPr>
          <w:i/>
          <w:iCs/>
        </w:rPr>
        <w:t xml:space="preserve">This guideline overrides section</w:t>
      </w:r>
      <w:r>
        <w:rPr>
          <w:i/>
          <w:iCs/>
        </w:rPr>
        <w:t xml:space="preserve"> </w:t>
      </w:r>
      <w:hyperlink r:id="rId59">
        <w:r>
          <w:rPr>
            <w:rStyle w:val="Hyperlink"/>
            <w:i/>
            <w:iCs/>
          </w:rPr>
          <w:t xml:space="preserve">4.8</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The top-level description MUST contain the following:</w:t>
      </w:r>
    </w:p>
    <w:p>
      <w:pPr>
        <w:pStyle w:val="Compact"/>
        <w:numPr>
          <w:ilvl w:val="0"/>
          <w:numId w:val="1007"/>
        </w:numPr>
      </w:pPr>
      <w:r>
        <w:t xml:space="preserve">Summary</w:t>
      </w:r>
    </w:p>
    <w:p>
      <w:pPr>
        <w:pStyle w:val="Compact"/>
        <w:numPr>
          <w:ilvl w:val="0"/>
          <w:numId w:val="1007"/>
        </w:numPr>
      </w:pPr>
      <w:r>
        <w:t xml:space="preserve">BBF Notice Section</w:t>
      </w:r>
    </w:p>
    <w:bookmarkEnd w:id="66"/>
    <w:bookmarkStart w:id="68" w:name="sec:ietf-9-namespace-assignments"/>
    <w:p>
      <w:pPr>
        <w:pStyle w:val="Heading3"/>
      </w:pPr>
      <w:r>
        <w:t xml:space="preserve">IETF-9: Namespace Assignments</w:t>
      </w:r>
    </w:p>
    <w:p>
      <w:pPr>
        <w:pStyle w:val="FirstParagraph"/>
      </w:pPr>
      <w:r>
        <w:rPr>
          <w:i/>
          <w:iCs/>
        </w:rPr>
        <w:t xml:space="preserve">This guideline overrides section</w:t>
      </w:r>
      <w:r>
        <w:rPr>
          <w:i/>
          <w:iCs/>
        </w:rPr>
        <w:t xml:space="preserve"> </w:t>
      </w:r>
      <w:hyperlink r:id="rId67">
        <w:r>
          <w:rPr>
            <w:rStyle w:val="Hyperlink"/>
            <w:i/>
            <w:iCs/>
          </w:rPr>
          <w:t xml:space="preserve">4.9</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Section 4.9 applies with appropriate translations of IETF terms to BBF terms, e.g.,</w:t>
      </w:r>
      <w:r>
        <w:t xml:space="preserve"> </w:t>
      </w:r>
      <w:r>
        <w:t xml:space="preserve">“IANA”</w:t>
      </w:r>
      <w:r>
        <w:t xml:space="preserve"> </w:t>
      </w:r>
      <w:r>
        <w:t xml:space="preserve">is read as</w:t>
      </w:r>
      <w:r>
        <w:t xml:space="preserve"> </w:t>
      </w:r>
      <w:r>
        <w:t xml:space="preserve">“BBF”</w:t>
      </w:r>
      <w:r>
        <w:t xml:space="preserve"> </w:t>
      </w:r>
      <w:r>
        <w:t xml:space="preserve">and</w:t>
      </w:r>
      <w:r>
        <w:t xml:space="preserve"> </w:t>
      </w:r>
      <w:r>
        <w:t xml:space="preserve">“non-Standards-Track”</w:t>
      </w:r>
      <w:r>
        <w:t xml:space="preserve"> </w:t>
      </w:r>
      <w:r>
        <w:t xml:space="preserve">is read as</w:t>
      </w:r>
      <w:r>
        <w:t xml:space="preserve"> </w:t>
      </w:r>
      <w:r>
        <w:t xml:space="preserve">“example”</w:t>
      </w:r>
      <w:r>
        <w:t xml:space="preserve"> </w:t>
      </w:r>
      <w:r>
        <w:t xml:space="preserve">or</w:t>
      </w:r>
      <w:r>
        <w:t xml:space="preserve"> </w:t>
      </w:r>
      <w:r>
        <w:t xml:space="preserve">“not-for-publication”</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8"/>
    <w:bookmarkStart w:id="70" w:name="sec:ietf-10-prefixes---imported-modules"/>
    <w:p>
      <w:pPr>
        <w:pStyle w:val="Heading3"/>
      </w:pPr>
      <w:r>
        <w:t xml:space="preserve">IETF-10: Prefixes - Imported Modules</w:t>
      </w:r>
    </w:p>
    <w:p>
      <w:pPr>
        <w:pStyle w:val="FirstParagraph"/>
      </w:pPr>
      <w:r>
        <w:rPr>
          <w:i/>
          <w:iCs/>
        </w:rPr>
        <w:t xml:space="preserve">This guideline extends section</w:t>
      </w:r>
      <w:r>
        <w:rPr>
          <w:i/>
          <w:iCs/>
        </w:rPr>
        <w:t xml:space="preserve"> </w:t>
      </w:r>
      <w:hyperlink r:id="rId69">
        <w:r>
          <w:rPr>
            <w:rStyle w:val="Hyperlink"/>
            <w:i/>
            <w:iCs/>
          </w:rPr>
          <w:t xml:space="preserve">4.2</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70"/>
    <w:bookmarkStart w:id="72" w:name="sec:ietf-11-prefixes---usage"/>
    <w:p>
      <w:pPr>
        <w:pStyle w:val="Heading3"/>
      </w:pPr>
      <w:r>
        <w:t xml:space="preserve">IETF-11: Prefixes - Usage</w:t>
      </w:r>
    </w:p>
    <w:p>
      <w:pPr>
        <w:pStyle w:val="FirstParagraph"/>
      </w:pPr>
      <w:r>
        <w:rPr>
          <w:i/>
          <w:iCs/>
        </w:rPr>
        <w:t xml:space="preserve">These guidelines restate section</w:t>
      </w:r>
      <w:r>
        <w:rPr>
          <w:i/>
          <w:iCs/>
        </w:rPr>
        <w:t xml:space="preserve"> </w:t>
      </w:r>
      <w:hyperlink r:id="rId69">
        <w:r>
          <w:rPr>
            <w:rStyle w:val="Hyperlink"/>
            <w:i/>
            <w:iCs/>
          </w:rPr>
          <w:t xml:space="preserve">4.2</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The following apply to prefix usage of the local module:</w:t>
      </w:r>
    </w:p>
    <w:p>
      <w:pPr>
        <w:pStyle w:val="Compact"/>
        <w:numPr>
          <w:ilvl w:val="0"/>
          <w:numId w:val="1008"/>
        </w:numPr>
      </w:pPr>
      <w:r>
        <w:t xml:space="preserve">The local module prefix SHOULD be used instead of no prefix in all path expressions where the prefix is optional per section</w:t>
      </w:r>
      <w:r>
        <w:t xml:space="preserve"> </w:t>
      </w:r>
      <w:hyperlink r:id="rId71">
        <w:r>
          <w:rPr>
            <w:rStyle w:val="Hyperlink"/>
          </w:rPr>
          <w:t xml:space="preserve">5.1</w:t>
        </w:r>
      </w:hyperlink>
      <w:r>
        <w:t xml:space="preserve"> </w:t>
      </w:r>
      <w:r>
        <w:t xml:space="preserve">of RFC 7950</w:t>
      </w:r>
      <w:r>
        <w:t xml:space="preserve"> </w:t>
      </w:r>
      <w:hyperlink w:anchor="ref-RFC7950">
        <w:r>
          <w:rPr>
            <w:rStyle w:val="Hyperlink"/>
          </w:rPr>
          <w:t xml:space="preserve">[3]</w:t>
        </w:r>
      </w:hyperlink>
      <w:r>
        <w:t xml:space="preserve">.</w:t>
      </w:r>
    </w:p>
    <w:p>
      <w:pPr>
        <w:pStyle w:val="Compact"/>
        <w:numPr>
          <w:ilvl w:val="0"/>
          <w:numId w:val="1008"/>
        </w:numPr>
      </w:pPr>
      <w:r>
        <w:t xml:space="preserve">The local module prefix MUST be used instead of no prefix in all default statements for an identityref or instance-identifier data type.</w:t>
      </w:r>
    </w:p>
    <w:p>
      <w:pPr>
        <w:pStyle w:val="Compact"/>
        <w:numPr>
          <w:ilvl w:val="0"/>
          <w:numId w:val="1008"/>
        </w:numPr>
      </w:pPr>
      <w:r>
        <w:t xml:space="preserve">The local module prefix MAY be used for references to typedefs, groupings, extensions, features and identities defined in the module.</w:t>
      </w:r>
    </w:p>
    <w:bookmarkEnd w:id="72"/>
    <w:bookmarkStart w:id="74" w:name="X80044f5d3c8e8feac203f759e305a26d3483c81"/>
    <w:p>
      <w:pPr>
        <w:pStyle w:val="Heading3"/>
      </w:pPr>
      <w:r>
        <w:t xml:space="preserve">IETF-12: Identifier Naming Conventions</w:t>
      </w:r>
    </w:p>
    <w:p>
      <w:pPr>
        <w:pStyle w:val="FirstParagraph"/>
      </w:pPr>
      <w:r>
        <w:rPr>
          <w:i/>
          <w:iCs/>
        </w:rPr>
        <w:t xml:space="preserve">The following extends section</w:t>
      </w:r>
      <w:r>
        <w:rPr>
          <w:i/>
          <w:iCs/>
        </w:rPr>
        <w:t xml:space="preserve"> </w:t>
      </w:r>
      <w:hyperlink r:id="rId73">
        <w:r>
          <w:rPr>
            <w:rStyle w:val="Hyperlink"/>
            <w:i/>
            <w:iCs/>
          </w:rPr>
          <w:t xml:space="preserve">4.3.1</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These guidelines are stronger than the IETF guidelines because they do not allow upper-case characters and the underscore character:</w:t>
      </w:r>
    </w:p>
    <w:p>
      <w:pPr>
        <w:pStyle w:val="Compact"/>
        <w:numPr>
          <w:ilvl w:val="0"/>
          <w:numId w:val="1009"/>
        </w:numPr>
      </w:pPr>
      <w:r>
        <w:t xml:space="preserve">Only lower-case letters, numbers, dashes</w:t>
      </w:r>
      <w:r>
        <w:t xml:space="preserve"> </w:t>
      </w:r>
      <w:r>
        <w:t xml:space="preserve">“-”</w:t>
      </w:r>
      <w:r>
        <w:t xml:space="preserve"> </w:t>
      </w:r>
      <w:r>
        <w:t xml:space="preserve">and dots</w:t>
      </w:r>
      <w:r>
        <w:t xml:space="preserve"> </w:t>
      </w:r>
      <w:r>
        <w:t xml:space="preserve">“.”</w:t>
      </w:r>
      <w:r>
        <w:t xml:space="preserve"> </w:t>
      </w:r>
      <w:r>
        <w:t xml:space="preserve">MUST be used in identifier names.</w:t>
      </w:r>
    </w:p>
    <w:p>
      <w:pPr>
        <w:pStyle w:val="Compact"/>
        <w:numPr>
          <w:ilvl w:val="0"/>
          <w:numId w:val="1009"/>
        </w:numPr>
      </w:pPr>
      <w:r>
        <w:t xml:space="preserve">Identifiers SHOULD include complete words and/or well-known acronyms or abbreviations. There are some exceptions to this for performance reasons. See BBF-5 for further guidelines.</w:t>
      </w:r>
    </w:p>
    <w:bookmarkEnd w:id="74"/>
    <w:bookmarkStart w:id="76" w:name="sec:ietf-13-conditional-statements"/>
    <w:p>
      <w:pPr>
        <w:pStyle w:val="Heading3"/>
      </w:pPr>
      <w:r>
        <w:t xml:space="preserve">IETF-13: Conditional Statements</w:t>
      </w:r>
    </w:p>
    <w:p>
      <w:pPr>
        <w:pStyle w:val="FirstParagraph"/>
      </w:pPr>
      <w:r>
        <w:rPr>
          <w:i/>
          <w:iCs/>
        </w:rPr>
        <w:t xml:space="preserve">The following reiterates section</w:t>
      </w:r>
      <w:r>
        <w:rPr>
          <w:i/>
          <w:iCs/>
        </w:rPr>
        <w:t xml:space="preserve"> </w:t>
      </w:r>
      <w:hyperlink r:id="rId75">
        <w:r>
          <w:rPr>
            <w:rStyle w:val="Hyperlink"/>
            <w:i/>
            <w:iCs/>
          </w:rPr>
          <w:t xml:space="preserve">4.5</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‘if-feature’</w:t>
      </w:r>
      <w:r>
        <w:t xml:space="preserve"> </w:t>
      </w:r>
      <w:r>
        <w:t xml:space="preserve">to make nodes explicitly optional or a</w:t>
      </w:r>
      <w:r>
        <w:t xml:space="preserve"> </w:t>
      </w:r>
      <w:r>
        <w:t xml:space="preserve">‘when’</w:t>
      </w:r>
      <w:r>
        <w:t xml:space="preserve"> </w:t>
      </w:r>
      <w:r>
        <w:t xml:space="preserve">statement to constrain data based on other data nodes. At a minimum, the description should be used to convey a constraint which cannot be modeled.</w:t>
      </w:r>
    </w:p>
    <w:bookmarkEnd w:id="76"/>
    <w:bookmarkStart w:id="78" w:name="X7c516396929950e7009e7b01428c60f37f5e66f"/>
    <w:p>
      <w:pPr>
        <w:pStyle w:val="Heading3"/>
      </w:pPr>
      <w:r>
        <w:t xml:space="preserve">IETF-14: Conditional Augment Statements</w:t>
      </w:r>
    </w:p>
    <w:p>
      <w:pPr>
        <w:pStyle w:val="FirstParagraph"/>
      </w:pPr>
      <w:r>
        <w:rPr>
          <w:i/>
          <w:iCs/>
        </w:rPr>
        <w:t xml:space="preserve">The following reiterates section</w:t>
      </w:r>
      <w:r>
        <w:rPr>
          <w:i/>
          <w:iCs/>
        </w:rPr>
        <w:t xml:space="preserve"> </w:t>
      </w:r>
      <w:hyperlink r:id="rId77">
        <w:r>
          <w:rPr>
            <w:rStyle w:val="Hyperlink"/>
            <w:i/>
            <w:iCs/>
          </w:rPr>
          <w:t xml:space="preserve">4.19.1</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Section 4.19.1 states that the augment statement is often used together with the</w:t>
      </w:r>
      <w:r>
        <w:t xml:space="preserve"> </w:t>
      </w:r>
      <w:r>
        <w:t xml:space="preserve">‘when’</w:t>
      </w:r>
      <w:r>
        <w:t xml:space="preserve"> </w:t>
      </w:r>
      <w:r>
        <w:t xml:space="preserve">statement and/or</w:t>
      </w:r>
      <w:r>
        <w:t xml:space="preserve"> </w:t>
      </w:r>
      <w:r>
        <w:t xml:space="preserve">‘if-feature’</w:t>
      </w:r>
      <w:r>
        <w:t xml:space="preserve"> </w:t>
      </w:r>
      <w:r>
        <w:t xml:space="preserve">statement to make the augmentation conditional on some portion of the data model.</w:t>
      </w:r>
    </w:p>
    <w:p>
      <w:pPr>
        <w:pStyle w:val="BodyText"/>
      </w:pPr>
      <w:r>
        <w:t xml:space="preserve">Where possible, all BBF YANG models SHOULD apply</w:t>
      </w:r>
      <w:r>
        <w:t xml:space="preserve"> </w:t>
      </w:r>
      <w:r>
        <w:t xml:space="preserve">‘when’</w:t>
      </w:r>
      <w:r>
        <w:t xml:space="preserve"> </w:t>
      </w:r>
      <w:r>
        <w:t xml:space="preserve">and/or</w:t>
      </w:r>
      <w:r>
        <w:t xml:space="preserve"> </w:t>
      </w:r>
      <w:r>
        <w:t xml:space="preserve">‘if-feature’</w:t>
      </w:r>
      <w:r>
        <w:t xml:space="preserve"> </w:t>
      </w:r>
      <w:r>
        <w:t xml:space="preserve">statements to each augment.</w:t>
      </w:r>
    </w:p>
    <w:bookmarkEnd w:id="78"/>
    <w:bookmarkStart w:id="80" w:name="Xd2cf503170de8fa411d07213b3f484e448ff459"/>
    <w:p>
      <w:pPr>
        <w:pStyle w:val="Heading3"/>
      </w:pPr>
      <w:r>
        <w:t xml:space="preserve">IETF-15: Import or Include By Revision</w:t>
      </w:r>
    </w:p>
    <w:p>
      <w:pPr>
        <w:pStyle w:val="FirstParagraph"/>
      </w:pPr>
      <w:r>
        <w:rPr>
          <w:i/>
          <w:iCs/>
        </w:rPr>
        <w:t xml:space="preserve">The following replaces statements in section</w:t>
      </w:r>
      <w:r>
        <w:rPr>
          <w:i/>
          <w:iCs/>
        </w:rPr>
        <w:t xml:space="preserve"> </w:t>
      </w:r>
      <w:hyperlink r:id="rId79">
        <w:r>
          <w:rPr>
            <w:rStyle w:val="Hyperlink"/>
            <w:i/>
            <w:iCs/>
          </w:rPr>
          <w:t xml:space="preserve">4.7</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 </w:t>
      </w:r>
      <w:r>
        <w:rPr>
          <w:i/>
          <w:iCs/>
        </w:rPr>
        <w:t xml:space="preserve">regarding the use of the</w:t>
      </w:r>
      <w:r>
        <w:rPr>
          <w:i/>
          <w:iCs/>
        </w:rPr>
        <w:t xml:space="preserve"> </w:t>
      </w:r>
      <w:r>
        <w:rPr>
          <w:i/>
          <w:iCs/>
        </w:rPr>
        <w:t xml:space="preserve">‘revision-date’</w:t>
      </w:r>
      <w:r>
        <w:rPr>
          <w:i/>
          <w:iCs/>
        </w:rPr>
        <w:t xml:space="preserve"> </w:t>
      </w:r>
      <w:r>
        <w:rPr>
          <w:i/>
          <w:iCs/>
        </w:rPr>
        <w:t xml:space="preserve">substatement.</w:t>
      </w:r>
    </w:p>
    <w:p>
      <w:pPr>
        <w:pStyle w:val="BodyText"/>
      </w:pPr>
      <w:r>
        <w:t xml:space="preserve">BBF YANG modules MUST NOT use</w:t>
      </w:r>
      <w:r>
        <w:t xml:space="preserve"> </w:t>
      </w:r>
      <w:r>
        <w:t xml:space="preserve">‘revision-date’</w:t>
      </w:r>
      <w:r>
        <w:t xml:space="preserve"> </w:t>
      </w:r>
      <w:r>
        <w:t xml:space="preserve">on import and include statements.</w:t>
      </w:r>
    </w:p>
    <w:bookmarkEnd w:id="80"/>
    <w:bookmarkStart w:id="82" w:name="X780f7a06219eafeb084776145b6d63da678cf9a"/>
    <w:p>
      <w:pPr>
        <w:pStyle w:val="Heading3"/>
      </w:pPr>
      <w:r>
        <w:t xml:space="preserve">IETF-16: Legal Characters in YANG Modules</w:t>
      </w:r>
    </w:p>
    <w:p>
      <w:pPr>
        <w:pStyle w:val="FirstParagraph"/>
      </w:pPr>
      <w:r>
        <w:rPr>
          <w:i/>
          <w:iCs/>
        </w:rPr>
        <w:t xml:space="preserve">The following replaces portions of section</w:t>
      </w:r>
      <w:r>
        <w:rPr>
          <w:i/>
          <w:iCs/>
        </w:rPr>
        <w:t xml:space="preserve"> </w:t>
      </w:r>
      <w:hyperlink r:id="rId81">
        <w:r>
          <w:rPr>
            <w:rStyle w:val="Hyperlink"/>
            <w:i/>
            <w:iCs/>
          </w:rPr>
          <w:t xml:space="preserve">6</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BBF YANG modules MUST be written using only printable ASCII characters.</w:t>
      </w:r>
    </w:p>
    <w:bookmarkEnd w:id="82"/>
    <w:bookmarkStart w:id="83" w:name="X7c19e059167da67820f4fb7766b40deca1bc898"/>
    <w:p>
      <w:pPr>
        <w:pStyle w:val="Heading3"/>
      </w:pPr>
      <w:r>
        <w:t xml:space="preserve">IETF-17: Prefix on</w:t>
      </w:r>
      <w:r>
        <w:t xml:space="preserve"> </w:t>
      </w:r>
      <w:r>
        <w:t xml:space="preserve">“belongs-to”</w:t>
      </w:r>
      <w:r>
        <w:t xml:space="preserve"> </w:t>
      </w:r>
      <w:r>
        <w:t xml:space="preserve">Statements</w:t>
      </w:r>
    </w:p>
    <w:p>
      <w:pPr>
        <w:pStyle w:val="FirstParagraph"/>
      </w:pPr>
      <w:r>
        <w:rPr>
          <w:i/>
          <w:iCs/>
        </w:rPr>
        <w:t xml:space="preserve">The following extends section</w:t>
      </w:r>
      <w:r>
        <w:rPr>
          <w:i/>
          <w:iCs/>
        </w:rPr>
        <w:t xml:space="preserve"> </w:t>
      </w:r>
      <w:hyperlink r:id="rId69">
        <w:r>
          <w:rPr>
            <w:rStyle w:val="Hyperlink"/>
            <w:i/>
            <w:iCs/>
          </w:rPr>
          <w:t xml:space="preserve">4.2</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In a submodule, the prefix defined for the parent module in the</w:t>
      </w:r>
      <w:r>
        <w:t xml:space="preserve"> </w:t>
      </w:r>
      <w:r>
        <w:t xml:space="preserve">‘belongs-to’</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83"/>
    <w:bookmarkStart w:id="85" w:name="Xcbd829666661b195829cbb3bb38c2991255df6e"/>
    <w:p>
      <w:pPr>
        <w:pStyle w:val="Heading3"/>
      </w:pPr>
      <w:r>
        <w:t xml:space="preserve">IETF-18:</w:t>
      </w:r>
      <w:r>
        <w:t xml:space="preserve"> </w:t>
      </w:r>
      <w:r>
        <w:t xml:space="preserve">‘error-message’</w:t>
      </w:r>
      <w:r>
        <w:t xml:space="preserve"> </w:t>
      </w:r>
      <w:r>
        <w:t xml:space="preserve">sub-statement to the</w:t>
      </w:r>
      <w:r>
        <w:t xml:space="preserve"> </w:t>
      </w:r>
      <w:r>
        <w:t xml:space="preserve">‘must’</w:t>
      </w:r>
      <w:r>
        <w:t xml:space="preserve"> </w:t>
      </w:r>
      <w:r>
        <w:t xml:space="preserve">statement</w:t>
      </w:r>
    </w:p>
    <w:p>
      <w:pPr>
        <w:pStyle w:val="FirstParagraph"/>
      </w:pPr>
      <w:r>
        <w:rPr>
          <w:i/>
          <w:iCs/>
        </w:rPr>
        <w:t xml:space="preserve">This guideline overrides section</w:t>
      </w:r>
      <w:r>
        <w:rPr>
          <w:i/>
          <w:iCs/>
        </w:rPr>
        <w:t xml:space="preserve"> </w:t>
      </w:r>
      <w:hyperlink r:id="rId84">
        <w:r>
          <w:rPr>
            <w:rStyle w:val="Hyperlink"/>
            <w:i/>
            <w:iCs/>
          </w:rPr>
          <w:t xml:space="preserve">7.5.4.1</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The</w:t>
      </w:r>
      <w:r>
        <w:t xml:space="preserve"> </w:t>
      </w:r>
      <w:r>
        <w:t xml:space="preserve">‘error-message’</w:t>
      </w:r>
      <w:r>
        <w:t xml:space="preserve"> </w:t>
      </w:r>
      <w:r>
        <w:t xml:space="preserve">sub-statement MUST be provided to</w:t>
      </w:r>
      <w:r>
        <w:t xml:space="preserve"> </w:t>
      </w:r>
      <w:r>
        <w:t xml:space="preserve">‘must’</w:t>
      </w:r>
      <w:r>
        <w:t xml:space="preserve"> </w:t>
      </w:r>
      <w:r>
        <w:t xml:space="preserve">statements in configuration data nodes for proper communication of the constraint validation failure.</w:t>
      </w:r>
    </w:p>
    <w:bookmarkEnd w:id="85"/>
    <w:bookmarkStart w:id="87" w:name="X80921fc05d606ee502d97a8f594d3fc1e4af16c"/>
    <w:p>
      <w:pPr>
        <w:pStyle w:val="Heading3"/>
      </w:pPr>
      <w:r>
        <w:t xml:space="preserve">IETF-19:</w:t>
      </w:r>
      <w:r>
        <w:t xml:space="preserve"> </w:t>
      </w:r>
      <w:r>
        <w:t xml:space="preserve">‘description’</w:t>
      </w:r>
      <w:r>
        <w:t xml:space="preserve"> </w:t>
      </w:r>
      <w:r>
        <w:t xml:space="preserve">sub-statement to the</w:t>
      </w:r>
      <w:r>
        <w:t xml:space="preserve"> </w:t>
      </w:r>
      <w:r>
        <w:t xml:space="preserve">‘must’</w:t>
      </w:r>
      <w:r>
        <w:t xml:space="preserve"> </w:t>
      </w:r>
      <w:r>
        <w:t xml:space="preserve">statement</w:t>
      </w:r>
    </w:p>
    <w:p>
      <w:pPr>
        <w:pStyle w:val="FirstParagraph"/>
      </w:pPr>
      <w:r>
        <w:rPr>
          <w:i/>
          <w:iCs/>
        </w:rPr>
        <w:t xml:space="preserve">This guideline overrides section</w:t>
      </w:r>
      <w:r>
        <w:rPr>
          <w:i/>
          <w:iCs/>
        </w:rPr>
        <w:t xml:space="preserve"> </w:t>
      </w:r>
      <w:hyperlink r:id="rId86">
        <w:r>
          <w:rPr>
            <w:rStyle w:val="Hyperlink"/>
            <w:i/>
            <w:iCs/>
          </w:rPr>
          <w:t xml:space="preserve">7.5.4</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Not everyone reading a YANG model is an expert in YANG and/or XPath. In order to provide assistence in understanding the intent, all</w:t>
      </w:r>
      <w:r>
        <w:t xml:space="preserve"> </w:t>
      </w:r>
      <w:r>
        <w:t xml:space="preserve">‘must’</w:t>
      </w:r>
      <w:r>
        <w:t xml:space="preserve"> </w:t>
      </w:r>
      <w:r>
        <w:t xml:space="preserve">statements SHALL contain a description statement. This description should convey the intent of the</w:t>
      </w:r>
      <w:r>
        <w:t xml:space="preserve"> </w:t>
      </w:r>
      <w:r>
        <w:t xml:space="preserve">‘must’</w:t>
      </w:r>
      <w:r>
        <w:t xml:space="preserve"> </w:t>
      </w:r>
      <w:r>
        <w:t xml:space="preserve">condition in easy to understand language.</w:t>
      </w:r>
    </w:p>
    <w:bookmarkEnd w:id="87"/>
    <w:bookmarkStart w:id="88" w:name="sec:ietf-20-tabs-and-spacing"/>
    <w:p>
      <w:pPr>
        <w:pStyle w:val="Heading3"/>
      </w:pPr>
      <w:r>
        <w:t xml:space="preserve">IETF-20: Tabs and Spacing</w:t>
      </w:r>
    </w:p>
    <w:p>
      <w:pPr>
        <w:pStyle w:val="FirstParagraph"/>
      </w:pPr>
      <w:r>
        <w:rPr>
          <w:i/>
          <w:iCs/>
        </w:rPr>
        <w:t xml:space="preserve">This guideline is an extension to section</w:t>
      </w:r>
      <w:r>
        <w:rPr>
          <w:i/>
          <w:iCs/>
        </w:rPr>
        <w:t xml:space="preserve"> </w:t>
      </w:r>
      <w:hyperlink r:id="rId55">
        <w:r>
          <w:rPr>
            <w:rStyle w:val="Hyperlink"/>
            <w:i/>
            <w:iCs/>
          </w:rPr>
          <w:t xml:space="preserve">6.1.3</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BBF YANG modules MUST NOT contain any tab characters and MUST use 2 space characters for indentation.</w:t>
      </w:r>
    </w:p>
    <w:bookmarkEnd w:id="88"/>
    <w:bookmarkStart w:id="90" w:name="sec:ietf-21-normative-language"/>
    <w:p>
      <w:pPr>
        <w:pStyle w:val="Heading3"/>
      </w:pPr>
      <w:r>
        <w:t xml:space="preserve">IETF-21: Normative Language</w:t>
      </w:r>
    </w:p>
    <w:p>
      <w:pPr>
        <w:pStyle w:val="FirstParagraph"/>
      </w:pPr>
      <w:r>
        <w:rPr>
          <w:i/>
          <w:iCs/>
        </w:rPr>
        <w:t xml:space="preserve">This guideline clarifies section</w:t>
      </w:r>
      <w:r>
        <w:rPr>
          <w:i/>
          <w:iCs/>
        </w:rPr>
        <w:t xml:space="preserve"> </w:t>
      </w:r>
      <w:hyperlink r:id="rId89">
        <w:r>
          <w:rPr>
            <w:rStyle w:val="Hyperlink"/>
            <w:i/>
            <w:iCs/>
          </w:rPr>
          <w:t xml:space="preserve">3.6</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BBF YANG modules SHALL NOT use normative keywords in their description statements as defined in RFC 2119</w:t>
      </w:r>
      <w:r>
        <w:t xml:space="preserve"> </w:t>
      </w:r>
      <w:hyperlink w:anchor="ref-RFC2119">
        <w:r>
          <w:rPr>
            <w:rStyle w:val="Hyperlink"/>
          </w:rPr>
          <w:t xml:space="preserve">[1]</w:t>
        </w:r>
      </w:hyperlink>
      <w:r>
        <w:t xml:space="preserve"> </w:t>
      </w:r>
      <w:r>
        <w:t xml:space="preserve">and clarified in RFC 8174</w:t>
      </w:r>
      <w:r>
        <w:t xml:space="preserve"> </w:t>
      </w:r>
      <w:hyperlink w:anchor="ref-RFC8174">
        <w:r>
          <w:rPr>
            <w:rStyle w:val="Hyperlink"/>
          </w:rPr>
          <w:t xml:space="preserve">[4]</w:t>
        </w:r>
      </w:hyperlink>
      <w:r>
        <w:t xml:space="preserve">. Explicitly, this means avoiding the use of the keywords in all capital letters, e.g., MUST, SHOULD, SHALL, etc.</w:t>
      </w:r>
    </w:p>
    <w:p>
      <w:pPr>
        <w:pStyle w:val="BodyText"/>
      </w:pPr>
      <w:r>
        <w:t xml:space="preserve">This does not apply to the license text included as part of each top-level module description.</w:t>
      </w:r>
    </w:p>
    <w:bookmarkEnd w:id="90"/>
    <w:bookmarkStart w:id="92" w:name="sec:ietf-22-leafref-path-in-a-grouping"/>
    <w:p>
      <w:pPr>
        <w:pStyle w:val="Heading3"/>
      </w:pPr>
      <w:r>
        <w:t xml:space="preserve">IETF-22:</w:t>
      </w:r>
      <w:r>
        <w:t xml:space="preserve"> </w:t>
      </w:r>
      <w:r>
        <w:t xml:space="preserve">‘leafref’</w:t>
      </w:r>
      <w:r>
        <w:t xml:space="preserve"> </w:t>
      </w:r>
      <w:r>
        <w:t xml:space="preserve">path in a</w:t>
      </w:r>
      <w:r>
        <w:t xml:space="preserve"> </w:t>
      </w:r>
      <w:r>
        <w:t xml:space="preserve">‘grouping’</w:t>
      </w:r>
    </w:p>
    <w:p>
      <w:pPr>
        <w:pStyle w:val="FirstParagraph"/>
      </w:pPr>
      <w:r>
        <w:rPr>
          <w:i/>
          <w:iCs/>
        </w:rPr>
        <w:t xml:space="preserve">The following extends section</w:t>
      </w:r>
      <w:r>
        <w:rPr>
          <w:i/>
          <w:iCs/>
        </w:rPr>
        <w:t xml:space="preserve"> </w:t>
      </w:r>
      <w:hyperlink r:id="rId91">
        <w:r>
          <w:rPr>
            <w:rStyle w:val="Hyperlink"/>
            <w:i/>
            <w:iCs/>
          </w:rPr>
          <w:t xml:space="preserve">4.13</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When defined in a</w:t>
      </w:r>
      <w:r>
        <w:t xml:space="preserve"> </w:t>
      </w:r>
      <w:r>
        <w:t xml:space="preserve">‘grouping’</w:t>
      </w:r>
      <w:r>
        <w:t xml:space="preserve">, a leaf or leaf-list of type</w:t>
      </w:r>
      <w:r>
        <w:t xml:space="preserve"> </w:t>
      </w:r>
      <w:r>
        <w:t xml:space="preserve">‘leafref’</w:t>
      </w:r>
      <w:r>
        <w:t xml:space="preserve"> </w:t>
      </w:r>
      <w:r>
        <w:t xml:space="preserve">MUST NOT specify a path using a relative XPath statement to a node that exists outside the grouping. Referencing nodes outside of a grouping makes assumptions about where within a schema tree the grouping is to be used and thus limits the reusability of the grouping.</w:t>
      </w:r>
    </w:p>
    <w:p>
      <w:pPr>
        <w:pStyle w:val="BodyText"/>
      </w:pPr>
      <w:r>
        <w:t xml:space="preserve">The following example violates this guideline because the leaf</w:t>
      </w:r>
      <w:r>
        <w:t xml:space="preserve"> </w:t>
      </w:r>
      <w:r>
        <w:t xml:space="preserve">‘profile-ref’</w:t>
      </w:r>
      <w:r>
        <w:t xml:space="preserve"> </w:t>
      </w:r>
      <w:r>
        <w:t xml:space="preserve">is referencing the leaf</w:t>
      </w:r>
      <w:r>
        <w:t xml:space="preserve"> </w:t>
      </w:r>
      <w:r>
        <w:t xml:space="preserve">‘name’</w:t>
      </w:r>
      <w:r>
        <w:t xml:space="preserve"> </w:t>
      </w:r>
      <w:r>
        <w:t xml:space="preserve">that exists outside of the</w:t>
      </w:r>
      <w:r>
        <w:t xml:space="preserve"> </w:t>
      </w:r>
      <w:r>
        <w:t xml:space="preserve">‘grouping’</w:t>
      </w:r>
      <w:r>
        <w:t xml:space="preserve"> </w:t>
      </w:r>
      <w:r>
        <w:t xml:space="preserve">statement. For this path to be valid, the grouping has to be used in a schema where the data node hierarchy, specified in the</w:t>
      </w:r>
      <w:r>
        <w:t xml:space="preserve"> </w:t>
      </w:r>
      <w:r>
        <w:t xml:space="preserve">‘path’</w:t>
      </w:r>
      <w:r>
        <w:t xml:space="preserve">, exists.</w:t>
      </w:r>
    </w:p>
    <w:p>
      <w:pPr>
        <w:pStyle w:val="SourceCode"/>
      </w:pPr>
      <w:r>
        <w:rPr>
          <w:rStyle w:val="VerbatimChar"/>
        </w:rPr>
        <w:t xml:space="preserve">grouping example-grouping {</w:t>
      </w:r>
      <w:r>
        <w:br/>
      </w:r>
      <w:r>
        <w:rPr>
          <w:rStyle w:val="VerbatimChar"/>
        </w:rPr>
        <w:t xml:space="preserve">  description</w:t>
      </w:r>
      <w:r>
        <w:br/>
      </w:r>
      <w:r>
        <w:rPr>
          <w:rStyle w:val="VerbatimChar"/>
        </w:rPr>
        <w:t xml:space="preserve">    "An example grouping.";</w:t>
      </w:r>
      <w:r>
        <w:br/>
      </w:r>
      <w:r>
        <w:rPr>
          <w:rStyle w:val="VerbatimChar"/>
        </w:rPr>
        <w:t xml:space="preserve">  leaf profile-ref {</w:t>
      </w:r>
      <w:r>
        <w:br/>
      </w:r>
      <w:r>
        <w:rPr>
          <w:rStyle w:val="VerbatimChar"/>
        </w:rPr>
        <w:t xml:space="preserve">    type leafref {</w:t>
      </w:r>
      <w:r>
        <w:br/>
      </w:r>
      <w:r>
        <w:rPr>
          <w:rStyle w:val="VerbatimChar"/>
        </w:rPr>
        <w:t xml:space="preserve">      path '../profiles/profile/name';</w:t>
      </w:r>
      <w:r>
        <w:br/>
      </w:r>
      <w:r>
        <w:rPr>
          <w:rStyle w:val="VerbatimChar"/>
        </w:rPr>
        <w:t xml:space="preserve">    }</w:t>
      </w:r>
      <w:r>
        <w:br/>
      </w:r>
      <w:r>
        <w:rPr>
          <w:rStyle w:val="VerbatimChar"/>
        </w:rPr>
        <w:t xml:space="preserve">    description</w:t>
      </w:r>
      <w:r>
        <w:br/>
      </w:r>
      <w:r>
        <w:rPr>
          <w:rStyle w:val="VerbatimChar"/>
        </w:rPr>
        <w:t xml:space="preserve">      "Reference to a profile.";</w:t>
      </w:r>
      <w:r>
        <w:br/>
      </w:r>
      <w:r>
        <w:rPr>
          <w:rStyle w:val="VerbatimChar"/>
        </w:rPr>
        <w:t xml:space="preserve">  }</w:t>
      </w:r>
      <w:r>
        <w:br/>
      </w:r>
      <w:r>
        <w:rPr>
          <w:rStyle w:val="VerbatimChar"/>
        </w:rPr>
        <w:t xml:space="preserve">}</w:t>
      </w:r>
    </w:p>
    <w:p>
      <w:pPr>
        <w:pStyle w:val="FirstParagraph"/>
      </w:pPr>
      <w:r>
        <w:t xml:space="preserve">The next example demonstrates the use of a relative path to a node within the grouping, which does not violate the guideline.</w:t>
      </w:r>
    </w:p>
    <w:p>
      <w:pPr>
        <w:pStyle w:val="SourceCode"/>
      </w:pPr>
      <w:r>
        <w:rPr>
          <w:rStyle w:val="VerbatimChar"/>
        </w:rPr>
        <w:t xml:space="preserve">grouping example-grouping {</w:t>
      </w:r>
      <w:r>
        <w:br/>
      </w:r>
      <w:r>
        <w:rPr>
          <w:rStyle w:val="VerbatimChar"/>
        </w:rPr>
        <w:t xml:space="preserve">  description</w:t>
      </w:r>
      <w:r>
        <w:br/>
      </w:r>
      <w:r>
        <w:rPr>
          <w:rStyle w:val="VerbatimChar"/>
        </w:rPr>
        <w:t xml:space="preserve">    "An example grouping.";</w:t>
      </w:r>
      <w:r>
        <w:br/>
      </w:r>
      <w:r>
        <w:rPr>
          <w:rStyle w:val="VerbatimChar"/>
        </w:rPr>
        <w:t xml:space="preserve">  leaf profile-ref {</w:t>
      </w:r>
      <w:r>
        <w:br/>
      </w:r>
      <w:r>
        <w:rPr>
          <w:rStyle w:val="VerbatimChar"/>
        </w:rPr>
        <w:t xml:space="preserve">    type leafref {</w:t>
      </w:r>
      <w:r>
        <w:br/>
      </w:r>
      <w:r>
        <w:rPr>
          <w:rStyle w:val="VerbatimChar"/>
        </w:rPr>
        <w:t xml:space="preserve">      path '../profiles/profile/name';</w:t>
      </w:r>
      <w:r>
        <w:br/>
      </w:r>
      <w:r>
        <w:rPr>
          <w:rStyle w:val="VerbatimChar"/>
        </w:rPr>
        <w:t xml:space="preserve">    }</w:t>
      </w:r>
      <w:r>
        <w:br/>
      </w:r>
      <w:r>
        <w:rPr>
          <w:rStyle w:val="VerbatimChar"/>
        </w:rPr>
        <w:t xml:space="preserve">    description</w:t>
      </w:r>
      <w:r>
        <w:br/>
      </w:r>
      <w:r>
        <w:rPr>
          <w:rStyle w:val="VerbatimChar"/>
        </w:rPr>
        <w:t xml:space="preserve">      "Reference to a profile.";</w:t>
      </w:r>
      <w:r>
        <w:br/>
      </w:r>
      <w:r>
        <w:rPr>
          <w:rStyle w:val="VerbatimChar"/>
        </w:rPr>
        <w:t xml:space="preserve">  }</w:t>
      </w:r>
      <w:r>
        <w:br/>
      </w:r>
      <w:r>
        <w:rPr>
          <w:rStyle w:val="VerbatimChar"/>
        </w:rPr>
        <w:t xml:space="preserve">  </w:t>
      </w:r>
      <w:r>
        <w:br/>
      </w:r>
      <w:r>
        <w:rPr>
          <w:rStyle w:val="VerbatimChar"/>
        </w:rPr>
        <w:t xml:space="preserve">  container profiles {</w:t>
      </w:r>
      <w:r>
        <w:br/>
      </w:r>
      <w:r>
        <w:rPr>
          <w:rStyle w:val="VerbatimChar"/>
        </w:rPr>
        <w:t xml:space="preserve">    description</w:t>
      </w:r>
      <w:r>
        <w:br/>
      </w:r>
      <w:r>
        <w:rPr>
          <w:rStyle w:val="VerbatimChar"/>
        </w:rPr>
        <w:t xml:space="preserve">      "Configuration associated with profiles.";</w:t>
      </w:r>
      <w:r>
        <w:br/>
      </w:r>
      <w:r>
        <w:rPr>
          <w:rStyle w:val="VerbatimChar"/>
        </w:rPr>
        <w:t xml:space="preserve">    </w:t>
      </w:r>
      <w:r>
        <w:br/>
      </w:r>
      <w:r>
        <w:rPr>
          <w:rStyle w:val="VerbatimChar"/>
        </w:rPr>
        <w:t xml:space="preserve">    list profile {</w:t>
      </w:r>
      <w:r>
        <w:br/>
      </w:r>
      <w:r>
        <w:rPr>
          <w:rStyle w:val="VerbatimChar"/>
        </w:rPr>
        <w:t xml:space="preserve">      key name;</w:t>
      </w:r>
      <w:r>
        <w:br/>
      </w:r>
      <w:r>
        <w:rPr>
          <w:rStyle w:val="VerbatimChar"/>
        </w:rPr>
        <w:t xml:space="preserve">      description</w:t>
      </w:r>
      <w:r>
        <w:br/>
      </w:r>
      <w:r>
        <w:rPr>
          <w:rStyle w:val="VerbatimChar"/>
        </w:rPr>
        <w:t xml:space="preserve">        "A profile.";</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92"/>
    <w:bookmarkEnd w:id="93"/>
    <w:bookmarkStart w:id="132"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94"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“use”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MUST reference the standard models which</w:t>
      </w:r>
      <w:r>
        <w:t xml:space="preserve"> </w:t>
      </w:r>
      <w:r>
        <w:t xml:space="preserve">are applicable.</w:t>
      </w:r>
    </w:p>
    <w:bookmarkEnd w:id="94"/>
    <w:bookmarkStart w:id="95" w:name="sec:bbf-2-line-length"/>
    <w:p>
      <w:pPr>
        <w:pStyle w:val="Heading3"/>
      </w:pPr>
      <w:r>
        <w:t xml:space="preserve">BBF-2: Line Length</w:t>
      </w:r>
    </w:p>
    <w:p>
      <w:pPr>
        <w:pStyle w:val="FirstParagraph"/>
      </w:pPr>
      <w:r>
        <w:t xml:space="preserve">The length of each line of text in a YANG module MUST not exceed 70 characters.</w:t>
      </w:r>
    </w:p>
    <w:bookmarkEnd w:id="95"/>
    <w:bookmarkStart w:id="96"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96"/>
    <w:bookmarkStart w:id="97"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97"/>
    <w:bookmarkStart w:id="98"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w:t>
      </w:r>
      <w:r>
        <w:t xml:space="preserve"> </w:t>
      </w:r>
      <w:hyperlink w:anchor="sec:bbf-25-reference-statements">
        <w:r>
          <w:rPr>
            <w:rStyle w:val="Hyperlink"/>
          </w:rPr>
          <w:t xml:space="preserve">reference statements</w:t>
        </w:r>
      </w:hyperlink>
      <w:r>
        <w:t xml:space="preserve"> </w:t>
      </w:r>
      <w:r>
        <w:t xml:space="preserve">need not meet this requirement and do not need to terminate with a period.</w:t>
      </w:r>
    </w:p>
    <w:bookmarkEnd w:id="98"/>
    <w:bookmarkStart w:id="99"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“XXX or less”</w:t>
      </w:r>
      <w:r>
        <w:t xml:space="preserve"> </w:t>
      </w:r>
      <w:r>
        <w:t xml:space="preserve">or</w:t>
      </w:r>
      <w:r>
        <w:t xml:space="preserve"> </w:t>
      </w:r>
      <w:r>
        <w:t xml:space="preserve">“YYY or more”</w:t>
      </w:r>
      <w:r>
        <w:t xml:space="preserve">.</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w:t>
      </w:r>
      <w:r>
        <w:t xml:space="preserve"> </w:t>
      </w:r>
      <w:r>
        <w:t xml:space="preserve">“undetermined”</w:t>
      </w:r>
      <w:r>
        <w:t xml:space="preserve"> </w:t>
      </w:r>
      <w:r>
        <w:t xml:space="preserve">refers to a value which is undetermined.</w:t>
      </w:r>
    </w:p>
    <w:bookmarkEnd w:id="99"/>
    <w:bookmarkStart w:id="100"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100"/>
    <w:bookmarkStart w:id="101" w:name="sec:bbf-8-revision-statements"/>
    <w:p>
      <w:pPr>
        <w:pStyle w:val="Heading3"/>
      </w:pPr>
      <w:r>
        <w:t xml:space="preserve">BBF-8: Revision Statements</w:t>
      </w:r>
    </w:p>
    <w:p>
      <w:pPr>
        <w:pStyle w:val="FirstParagraph"/>
      </w:pPr>
      <w:r>
        <w:t xml:space="preserve">Superseded by BBF-15.</w:t>
      </w:r>
    </w:p>
    <w:bookmarkEnd w:id="101"/>
    <w:bookmarkStart w:id="102"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or practical to use formal YANG modeling to convey the requirement.</w:t>
      </w:r>
    </w:p>
    <w:p>
      <w:pPr>
        <w:pStyle w:val="BodyText"/>
      </w:pPr>
      <w:r>
        <w:t xml:space="preserve">Example:</w:t>
      </w:r>
    </w:p>
    <w:p>
      <w:pPr>
        <w:pStyle w:val="SourceCode"/>
      </w:pPr>
      <w:r>
        <w:rPr>
          <w:rStyle w:val="VerbatimChar"/>
        </w:rPr>
        <w:t xml:space="preserve">  leaf forwarder {</w:t>
      </w:r>
      <w:r>
        <w:br/>
      </w:r>
      <w:r>
        <w:rPr>
          <w:rStyle w:val="VerbatimChar"/>
        </w:rPr>
        <w:t xml:space="preserve">    type bbf-l2-fwd:forwarder-ref;</w:t>
      </w:r>
      <w:r>
        <w:br/>
      </w:r>
      <w:r>
        <w:rPr>
          <w:rStyle w:val="VerbatimChar"/>
        </w:rPr>
        <w:t xml:space="preserve">    description</w:t>
      </w:r>
      <w:r>
        <w:br/>
      </w:r>
      <w:r>
        <w:rPr>
          <w:rStyle w:val="VerbatimChar"/>
        </w:rPr>
        <w:t xml:space="preserve">      "A reference to a forwarder.</w:t>
      </w:r>
      <w:r>
        <w:br/>
      </w:r>
      <w:r>
        <w:br/>
      </w:r>
      <w:r>
        <w:rPr>
          <w:rStyle w:val="VerbatimChar"/>
        </w:rPr>
        <w:t xml:space="preserve">       The following is a constraint that could not be captured in</w:t>
      </w:r>
      <w:r>
        <w:br/>
      </w:r>
      <w:r>
        <w:rPr>
          <w:rStyle w:val="VerbatimChar"/>
        </w:rPr>
        <w:t xml:space="preserve">       YANG: multiple Maintenance Groups referencing the same</w:t>
      </w:r>
      <w:r>
        <w:br/>
      </w:r>
      <w:r>
        <w:rPr>
          <w:rStyle w:val="VerbatimChar"/>
        </w:rPr>
        <w:t xml:space="preserve">       forwarder are allowed, but only if they have a different</w:t>
      </w:r>
      <w:r>
        <w:br/>
      </w:r>
      <w:r>
        <w:rPr>
          <w:rStyle w:val="VerbatimChar"/>
        </w:rPr>
        <w:t xml:space="preserve">       level.</w:t>
      </w:r>
      <w:r>
        <w:br/>
      </w:r>
      <w:r>
        <w:br/>
      </w:r>
      <w:r>
        <w:rPr>
          <w:rStyle w:val="VerbatimChar"/>
        </w:rPr>
        <w:t xml:space="preserve">       Note that there is no BBF requirement for multiple levels</w:t>
      </w:r>
      <w:r>
        <w:br/>
      </w:r>
      <w:r>
        <w:rPr>
          <w:rStyle w:val="VerbatimChar"/>
        </w:rPr>
        <w:t xml:space="preserve">       with up-MEPs. Within BBF context multiple levels on a</w:t>
      </w:r>
      <w:r>
        <w:br/>
      </w:r>
      <w:r>
        <w:rPr>
          <w:rStyle w:val="VerbatimChar"/>
        </w:rPr>
        <w:t xml:space="preserve">       forwarder go together with one level using up-MEPs and a</w:t>
      </w:r>
      <w:r>
        <w:br/>
      </w:r>
      <w:r>
        <w:rPr>
          <w:rStyle w:val="VerbatimChar"/>
        </w:rPr>
        <w:t xml:space="preserve">       higher level using MIPs.";</w:t>
      </w:r>
      <w:r>
        <w:br/>
      </w:r>
      <w:r>
        <w:rPr>
          <w:rStyle w:val="VerbatimChar"/>
        </w:rPr>
        <w:t xml:space="preserve">  }</w:t>
      </w:r>
    </w:p>
    <w:bookmarkEnd w:id="102"/>
    <w:bookmarkStart w:id="103" w:name="Xc8822cf271b3ba3489c4f60b5f40bba4bb3e20d"/>
    <w:p>
      <w:pPr>
        <w:pStyle w:val="Heading3"/>
      </w:pPr>
      <w:r>
        <w:t xml:space="preserve">BBF-10: Retroactive Application of OD-360 Guidelines</w:t>
      </w:r>
    </w:p>
    <w:p>
      <w:pPr>
        <w:pStyle w:val="FirstParagraph"/>
      </w:pPr>
      <w:r>
        <w:t xml:space="preserve">OD-360 guidelines MAY be retroactively applied to published BBF YANG modules but MUST NOT be applied if the resulting change is backward incompatible with the previously published version. For example, an existing node named using an underscore ’_’ instead of a dash</w:t>
      </w:r>
      <w:r>
        <w:t xml:space="preserve"> </w:t>
      </w:r>
      <w:r>
        <w:t xml:space="preserve">‘-’</w:t>
      </w:r>
      <w:r>
        <w:t xml:space="preserve"> </w:t>
      </w:r>
      <w:r>
        <w:t xml:space="preserve">MUST NOT be changed in published module as the resulting renaming is not backward compatible.</w:t>
      </w:r>
    </w:p>
    <w:bookmarkEnd w:id="103"/>
    <w:bookmarkStart w:id="104"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w:t>
      </w:r>
      <w:r>
        <w:t xml:space="preserve"> </w:t>
      </w:r>
      <w:r>
        <w:t xml:space="preserve">‘target-margin’</w:t>
      </w:r>
      <w:r>
        <w:t xml:space="preserve">.</w:t>
      </w:r>
    </w:p>
    <w:bookmarkEnd w:id="104"/>
    <w:bookmarkStart w:id="105"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105"/>
    <w:bookmarkStart w:id="106"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abbreviation in a description statement SHOULD have its meaning clearly conveyed.</w:t>
      </w:r>
    </w:p>
    <w:bookmarkEnd w:id="106"/>
    <w:bookmarkStart w:id="107" w:name="X365a74e662931a7eefdfcf499af0597b5ba63d7"/>
    <w:p>
      <w:pPr>
        <w:pStyle w:val="Heading3"/>
      </w:pPr>
      <w:r>
        <w:t xml:space="preserve">BBF-14: Creating and/or Extending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
          <w:bCs/>
        </w:rPr>
        <w:t xml:space="preserve">Requirements that are captured in a Broadband Forum Technical Report</w:t>
      </w:r>
      <w:r>
        <w:t xml:space="preserve">:</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
          <w:bCs/>
        </w:rPr>
        <w:t xml:space="preserve">Requirements (or information models) that are captured in standards documents published by other SDOs and referenced from a Broadband Forum Technical Report, for which the other SDO is not developing a YANG model</w:t>
      </w:r>
      <w:r>
        <w:t xml:space="preserve">:</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
          <w:bCs/>
        </w:rPr>
        <w:t xml:space="preserve">A model requirement which is not formulated as required, or not formulated at all, for the specific use case in a Broadband Forum Technical Report or a standard published by another SDO</w:t>
      </w:r>
      <w:r>
        <w:t xml:space="preserve">:</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Technical Report. However, that should not hold up putting the requirement in the YANG model. In other words, if the Work Area agrees that something should be added in a BBF YANG model, then we do not need to wait until the requirement is captured in a Technical Report.</w:t>
      </w:r>
    </w:p>
    <w:p>
      <w:pPr>
        <w:numPr>
          <w:ilvl w:val="1"/>
          <w:numId w:val="1011"/>
        </w:numPr>
      </w:pPr>
      <w:r>
        <w:t xml:space="preserve">The new requirement must not deviate from any existing requirements in BBF Technical Reports.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107"/>
    <w:bookmarkStart w:id="111"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pStyle w:val="Compact"/>
        <w:numPr>
          <w:ilvl w:val="0"/>
          <w:numId w:val="1012"/>
        </w:numPr>
      </w:pPr>
      <w:r>
        <w:t xml:space="preserve">Published: Models are made available to the public in GitHub and are associated with a Technical Report.</w:t>
      </w:r>
    </w:p>
    <w:p>
      <w:pPr>
        <w:pStyle w:val="Compact"/>
        <w:numPr>
          <w:ilvl w:val="0"/>
          <w:numId w:val="1012"/>
        </w:numPr>
      </w:pPr>
      <w:r>
        <w:t xml:space="preserve">Draft: Models are made available to the public in GitHub and are associated with a draft Working Text.</w:t>
      </w:r>
    </w:p>
    <w:p>
      <w:pPr>
        <w:pStyle w:val="Compact"/>
        <w:numPr>
          <w:ilvl w:val="0"/>
          <w:numId w:val="1012"/>
        </w:numPr>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108" w:name="sec:published"/>
    <w:p>
      <w:pPr>
        <w:pStyle w:val="Heading4"/>
      </w:pPr>
      <w:r>
        <w:t xml:space="preserve">Published</w:t>
      </w:r>
    </w:p>
    <w:p>
      <w:pPr>
        <w:pStyle w:val="FirstParagraph"/>
      </w:pPr>
      <w:r>
        <w:t xml:space="preserve">Each published module and submodule SHALL:</w:t>
      </w:r>
    </w:p>
    <w:p>
      <w:pPr>
        <w:pStyle w:val="Compact"/>
        <w:numPr>
          <w:ilvl w:val="0"/>
          <w:numId w:val="1013"/>
        </w:numPr>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pStyle w:val="Compact"/>
        <w:numPr>
          <w:ilvl w:val="0"/>
          <w:numId w:val="1013"/>
        </w:numPr>
      </w:pPr>
      <w:r>
        <w:t xml:space="preserve">maintain all revision statements from previously published revisions.</w:t>
      </w:r>
    </w:p>
    <w:p>
      <w:pPr>
        <w:pStyle w:val="Compact"/>
        <w:numPr>
          <w:ilvl w:val="0"/>
          <w:numId w:val="1013"/>
        </w:numPr>
      </w:pPr>
      <w:r>
        <w:t xml:space="preserve">contain the standard BBF software license with correct copyright year(s).</w:t>
      </w:r>
    </w:p>
    <w:bookmarkEnd w:id="108"/>
    <w:bookmarkStart w:id="109" w:name="sec:draft"/>
    <w:p>
      <w:pPr>
        <w:pStyle w:val="Heading4"/>
      </w:pPr>
      <w:r>
        <w:t xml:space="preserve">Draft</w:t>
      </w:r>
    </w:p>
    <w:p>
      <w:pPr>
        <w:pStyle w:val="FirstParagraph"/>
      </w:pPr>
      <w:r>
        <w:t xml:space="preserve">Each draft module and submodule SHALL:</w:t>
      </w:r>
    </w:p>
    <w:p>
      <w:pPr>
        <w:pStyle w:val="Compact"/>
        <w:numPr>
          <w:ilvl w:val="0"/>
          <w:numId w:val="1014"/>
        </w:numPr>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pStyle w:val="Compact"/>
        <w:numPr>
          <w:ilvl w:val="0"/>
          <w:numId w:val="1014"/>
        </w:numPr>
      </w:pPr>
      <w:r>
        <w:t xml:space="preserve">maintain all revision statements from previously published revisions.</w:t>
      </w:r>
    </w:p>
    <w:p>
      <w:pPr>
        <w:pStyle w:val="Compact"/>
        <w:numPr>
          <w:ilvl w:val="0"/>
          <w:numId w:val="1014"/>
        </w:numPr>
      </w:pPr>
      <w:r>
        <w:t xml:space="preserve">contain the draft BBF software license with correct copyright year(s).</w:t>
      </w:r>
    </w:p>
    <w:bookmarkEnd w:id="109"/>
    <w:bookmarkStart w:id="110" w:name="sec:development"/>
    <w:p>
      <w:pPr>
        <w:pStyle w:val="Heading4"/>
      </w:pPr>
      <w:r>
        <w:t xml:space="preserve">Development</w:t>
      </w:r>
    </w:p>
    <w:p>
      <w:pPr>
        <w:pStyle w:val="FirstParagraph"/>
      </w:pPr>
      <w:r>
        <w:t xml:space="preserve">Each development module and submodule SHALL:</w:t>
      </w:r>
    </w:p>
    <w:p>
      <w:pPr>
        <w:pStyle w:val="Compact"/>
        <w:numPr>
          <w:ilvl w:val="0"/>
          <w:numId w:val="1015"/>
        </w:numPr>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pStyle w:val="Compact"/>
        <w:numPr>
          <w:ilvl w:val="0"/>
          <w:numId w:val="1015"/>
        </w:numPr>
      </w:pPr>
      <w:r>
        <w:t xml:space="preserve">maintain all revision statements from previously published revisions.</w:t>
      </w:r>
    </w:p>
    <w:p>
      <w:pPr>
        <w:pStyle w:val="Compact"/>
        <w:numPr>
          <w:ilvl w:val="0"/>
          <w:numId w:val="1015"/>
        </w:numPr>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10"/>
    <w:bookmarkEnd w:id="111"/>
    <w:bookmarkStart w:id="112" w:name="sec:bbf-16-enum-naming"/>
    <w:p>
      <w:pPr>
        <w:pStyle w:val="Heading3"/>
      </w:pPr>
      <w:r>
        <w:t xml:space="preserve">BBF-16: Enum Naming</w:t>
      </w:r>
    </w:p>
    <w:p>
      <w:pPr>
        <w:pStyle w:val="FirstParagraph"/>
      </w:pPr>
      <w:r>
        <w:t xml:space="preserve">All enums in an enumeration SHOULD be named using names that describe their functional meaning rather than something ambiguous such as an integer string,</w:t>
      </w:r>
      <w:r>
        <w:t xml:space="preserve"> </w:t>
      </w:r>
      <w:r>
        <w:t xml:space="preserve">“1”</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12"/>
    <w:bookmarkStart w:id="113"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‘value’</w:t>
      </w:r>
      <w:r>
        <w:t xml:space="preserve"> </w:t>
      </w:r>
      <w:r>
        <w:t xml:space="preserve">statement.</w:t>
      </w:r>
    </w:p>
    <w:p>
      <w:pPr>
        <w:pStyle w:val="BodyText"/>
      </w:pPr>
      <w:r>
        <w:t xml:space="preserve">The</w:t>
      </w:r>
      <w:r>
        <w:t xml:space="preserve"> </w:t>
      </w:r>
      <w:r>
        <w:t xml:space="preserve">‘value’</w:t>
      </w:r>
      <w:r>
        <w:t xml:space="preserve"> </w:t>
      </w:r>
      <w:r>
        <w:t xml:space="preserve">carries no meaning via NETCONF nor RESTCONF but is used for an implementation and reference aid.</w:t>
      </w:r>
    </w:p>
    <w:p>
      <w:pPr>
        <w:pStyle w:val="BodyText"/>
      </w:pPr>
      <w:r>
        <w:t xml:space="preserve">For an enumeration whose underlying values are 0..n, the</w:t>
      </w:r>
      <w:r>
        <w:t xml:space="preserve"> </w:t>
      </w:r>
      <w:r>
        <w:t xml:space="preserve">‘value’</w:t>
      </w:r>
      <w:r>
        <w:t xml:space="preserve"> </w:t>
      </w:r>
      <w: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13"/>
    <w:bookmarkStart w:id="114" w:name="Xc0a7f9e5a82313fbca8666f2d3b491f4f3b8663"/>
    <w:p>
      <w:pPr>
        <w:pStyle w:val="Heading3"/>
      </w:pPr>
      <w:r>
        <w:t xml:space="preserve">BBF-18: Prefix on</w:t>
      </w:r>
      <w:r>
        <w:t xml:space="preserve"> </w:t>
      </w:r>
      <w:r>
        <w:t xml:space="preserve">‘if-feature’</w:t>
      </w:r>
      <w:r>
        <w:t xml:space="preserve"> </w:t>
      </w:r>
      <w:r>
        <w:t xml:space="preserve">Statements</w:t>
      </w:r>
    </w:p>
    <w:p>
      <w:pPr>
        <w:pStyle w:val="FirstParagraph"/>
      </w:pPr>
      <w:r>
        <w:t xml:space="preserve">An</w:t>
      </w:r>
      <w:r>
        <w:t xml:space="preserve"> </w:t>
      </w:r>
      <w:r>
        <w:t xml:space="preserve">‘if-feature’</w:t>
      </w:r>
      <w:r>
        <w:t xml:space="preserve"> </w:t>
      </w:r>
      <w:r>
        <w:t xml:space="preserve">statement on any node defined within a top level grouping which depends on a</w:t>
      </w:r>
      <w:r>
        <w:t xml:space="preserve"> </w:t>
      </w:r>
      <w:r>
        <w:t xml:space="preserve">‘feature’</w:t>
      </w:r>
      <w:r>
        <w:t xml:space="preserve"> </w:t>
      </w:r>
      <w:r>
        <w:t xml:space="preserve">that is defined in the same module as the grouping MUST use the prefix on the feature name contained within the</w:t>
      </w:r>
      <w:r>
        <w:t xml:space="preserve"> </w:t>
      </w:r>
      <w:r>
        <w:t xml:space="preserve">‘if-feature’</w:t>
      </w:r>
      <w:r>
        <w:t xml:space="preserve"> </w:t>
      </w:r>
      <w:r>
        <w:t xml:space="preserve">statement.</w:t>
      </w:r>
    </w:p>
    <w:p>
      <w:pPr>
        <w:pStyle w:val="SourceCode"/>
      </w:pPr>
      <w:r>
        <w:rPr>
          <w:rStyle w:val="VerbatimChar"/>
        </w:rPr>
        <w:t xml:space="preserve">  module bbf-availability {</w:t>
      </w:r>
      <w:r>
        <w:br/>
      </w:r>
      <w:r>
        <w:rPr>
          <w:rStyle w:val="VerbatimChar"/>
        </w:rPr>
        <w:t xml:space="preserve">    yang-version 1.1;</w:t>
      </w:r>
      <w:r>
        <w:br/>
      </w:r>
      <w:r>
        <w:rPr>
          <w:rStyle w:val="VerbatimChar"/>
        </w:rPr>
        <w:t xml:space="preserve">    namespace "urn:bbf:yang:bbf-availability";</w:t>
      </w:r>
      <w:r>
        <w:br/>
      </w:r>
      <w:r>
        <w:rPr>
          <w:rStyle w:val="VerbatimChar"/>
        </w:rPr>
        <w:t xml:space="preserve">    prefix bbf-avail;</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14"/>
    <w:bookmarkStart w:id="117" w:name="Xcb8ec127efd0a3543271a81f49bbc6152df386b"/>
    <w:p>
      <w:pPr>
        <w:pStyle w:val="Heading3"/>
      </w:pPr>
      <w:r>
        <w:t xml:space="preserve">BBF-19: Default Case of a Choice Statement - Empty Typed Leaf</w:t>
      </w:r>
    </w:p>
    <w:p>
      <w:pPr>
        <w:pStyle w:val="FirstParagraph"/>
      </w:pPr>
      <w:r>
        <w:rPr>
          <w:i/>
          <w:iCs/>
        </w:rPr>
        <w:t xml:space="preserve">This requirement is derived from section</w:t>
      </w:r>
      <w:r>
        <w:rPr>
          <w:i/>
          <w:iCs/>
        </w:rPr>
        <w:t xml:space="preserve"> </w:t>
      </w:r>
      <w:hyperlink r:id="rId115">
        <w:r>
          <w:rPr>
            <w:rStyle w:val="Hyperlink"/>
            <w:i/>
            <w:iCs/>
          </w:rPr>
          <w:t xml:space="preserve">7.9.3</w:t>
        </w:r>
      </w:hyperlink>
      <w:r>
        <w:rPr>
          <w:i/>
          <w:iCs/>
        </w:rPr>
        <w:t xml:space="preserve"> </w:t>
      </w:r>
      <w:r>
        <w:rPr>
          <w:i/>
          <w:iCs/>
        </w:rPr>
        <w:t xml:space="preserve">and section</w:t>
      </w:r>
      <w:r>
        <w:rPr>
          <w:i/>
          <w:iCs/>
        </w:rPr>
        <w:t xml:space="preserve"> </w:t>
      </w:r>
      <w:hyperlink r:id="rId116">
        <w:r>
          <w:rPr>
            <w:rStyle w:val="Hyperlink"/>
            <w:i/>
            <w:iCs/>
          </w:rPr>
          <w:t xml:space="preserve">9.11</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The default case of a choice statement MUST not contain a sole descendant leaf node of type</w:t>
      </w:r>
      <w:r>
        <w:t xml:space="preserve"> </w:t>
      </w:r>
      <w:r>
        <w:t xml:space="preserve">“empty”</w:t>
      </w:r>
      <w:r>
        <w:t xml:space="preserve">.</w:t>
      </w:r>
    </w:p>
    <w:p>
      <w:pPr>
        <w:pStyle w:val="BodyText"/>
      </w:pPr>
      <w:r>
        <w:t xml:space="preserve">Section 7.9.3 states that</w:t>
      </w:r>
      <w:r>
        <w:t xml:space="preserve"> </w:t>
      </w:r>
      <w:r>
        <w:t xml:space="preserve">“The default case is only important when considering the</w:t>
      </w:r>
      <w:r>
        <w:t xml:space="preserve"> </w:t>
      </w:r>
      <w:r>
        <w:t xml:space="preserve">‘default’</w:t>
      </w:r>
      <w:r>
        <w:t xml:space="preserve"> </w:t>
      </w:r>
      <w:r>
        <w:t xml:space="preserve">statements of nodes under the cases (i.e., default values of leafs and leaf-lists, and default cases of nested choices).”</w:t>
      </w:r>
      <w:r>
        <w:t xml:space="preserve"> </w:t>
      </w:r>
      <w:r>
        <w:t xml:space="preserve">It also states that</w:t>
      </w:r>
      <w:r>
        <w:t xml:space="preserve"> </w:t>
      </w:r>
      <w:r>
        <w:t xml:space="preserve">“The default values and nested default cases under the default case are used if none of the nodes under any of the cases are present.”</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‘manual’</w:t>
      </w:r>
      <w:r>
        <w:t xml:space="preserve"> </w:t>
      </w:r>
      <w:r>
        <w:t xml:space="preserve">has a leaf with an empty type as the only child node. Since an empty leaf cannot have a default value, the behavior of an &lt;edit-config&gt; request that creates the</w:t>
      </w:r>
      <w:r>
        <w:t xml:space="preserve"> </w:t>
      </w:r>
      <w:r>
        <w:t xml:space="preserve">‘transfer’</w:t>
      </w:r>
      <w:r>
        <w:t xml:space="preserve"> </w:t>
      </w:r>
      <w:r>
        <w:t xml:space="preserve">container without providing any data for the choice</w:t>
      </w:r>
      <w:r>
        <w:t xml:space="preserve"> </w:t>
      </w:r>
      <w:r>
        <w:t xml:space="preserve">‘how’</w:t>
      </w:r>
      <w:r>
        <w:t xml:space="preserve"> </w:t>
      </w:r>
      <w:r>
        <w:t xml:space="preserve">will be the same irrespective of whether the default</w:t>
      </w:r>
      <w:r>
        <w:t xml:space="preserve"> </w:t>
      </w:r>
      <w:r>
        <w:t xml:space="preserve">‘manual’</w:t>
      </w:r>
      <w:r>
        <w:t xml:space="preserve"> </w:t>
      </w:r>
      <w:r>
        <w:t xml:space="preserve">statement is present or not.</w:t>
      </w:r>
    </w:p>
    <w:p>
      <w:pPr>
        <w:pStyle w:val="BodyText"/>
      </w:pPr>
      <w:r>
        <w:t xml:space="preserve">The leaf</w:t>
      </w:r>
      <w:r>
        <w:t xml:space="preserve"> </w:t>
      </w:r>
      <w:r>
        <w:t xml:space="preserve">‘manual’</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17"/>
    <w:bookmarkStart w:id="118" w:name="Xa6044de28c4be7f5f32a38ecbb8c01b0d409037"/>
    <w:p>
      <w:pPr>
        <w:pStyle w:val="Heading3"/>
      </w:pPr>
      <w:r>
        <w:t xml:space="preserve">BBF-20: Formatting</w:t>
      </w:r>
      <w:r>
        <w:t xml:space="preserve"> </w:t>
      </w:r>
      <w:r>
        <w:t xml:space="preserve">‘error-string’</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‘error-string’</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[3]</w:t>
        </w:r>
      </w:hyperlink>
      <w:r>
        <w:t xml:space="preserve">, section</w:t>
      </w:r>
      <w:r>
        <w:t xml:space="preserve"> </w:t>
      </w:r>
      <w:hyperlink r:id="rId55">
        <w:r>
          <w:rPr>
            <w:rStyle w:val="Hyperlink"/>
          </w:rPr>
          <w:t xml:space="preserve">6.1.3</w:t>
        </w:r>
      </w:hyperlink>
      <w:r>
        <w:t xml:space="preserve">, this</w:t>
      </w:r>
      <w:r>
        <w:t xml:space="preserve"> </w:t>
      </w:r>
      <w:r>
        <w:t xml:space="preserve">‘error-message’</w:t>
      </w:r>
      <w:r>
        <w:t xml:space="preserve"> </w:t>
      </w:r>
      <w:r>
        <w:t xml:space="preserve">would be reported as either</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or</w:t>
      </w:r>
    </w:p>
    <w:p>
      <w:pPr>
        <w:pStyle w:val="SourceCode"/>
      </w:pPr>
      <w:r>
        <w:rPr>
          <w:rStyle w:val="VerbatimChar"/>
        </w:rPr>
        <w:t xml:space="preserve">&lt;error-message&gt;The name of a multicast interface to host can notbe the name of a multicast network interface.&lt;/error-message&gt;</w:t>
      </w:r>
    </w:p>
    <w:p>
      <w:pPr>
        <w:pStyle w:val="FirstParagraph"/>
      </w:pPr>
      <w:r>
        <w:t xml:space="preserve">depending on how the system interprets a new line.</w:t>
      </w:r>
    </w:p>
    <w:p>
      <w:pPr>
        <w:pStyle w:val="BodyText"/>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18"/>
    <w:bookmarkStart w:id="119" w:name="X4dec392c9843aa4f569c2015eb960eb0d83ae6b"/>
    <w:p>
      <w:pPr>
        <w:pStyle w:val="Heading3"/>
      </w:pPr>
      <w:r>
        <w:t xml:space="preserve">BBF-21: Deprecating and Obsoleting Data Nodes</w:t>
      </w:r>
    </w:p>
    <w:p>
      <w:pPr>
        <w:pStyle w:val="FirstParagraph"/>
      </w:pPr>
      <w:r>
        <w:t xml:space="preserve">There are times when the need arises to migrate away from using previously published data nodes:</w:t>
      </w:r>
    </w:p>
    <w:p>
      <w:pPr>
        <w:pStyle w:val="Compact"/>
        <w:numPr>
          <w:ilvl w:val="0"/>
          <w:numId w:val="1016"/>
        </w:numPr>
      </w:pPr>
      <w:r>
        <w:t xml:space="preserve">A newer, possibly more efficient, method has been defined.</w:t>
      </w:r>
    </w:p>
    <w:p>
      <w:pPr>
        <w:pStyle w:val="Compact"/>
        <w:numPr>
          <w:ilvl w:val="0"/>
          <w:numId w:val="1016"/>
        </w:numPr>
      </w:pPr>
      <w:r>
        <w:t xml:space="preserve">Error(s) existing in the current definition that cannot be resolved in a backward compatible way.</w:t>
      </w:r>
    </w:p>
    <w:p>
      <w:pPr>
        <w:pStyle w:val="Compact"/>
        <w:numPr>
          <w:ilvl w:val="0"/>
          <w:numId w:val="1016"/>
        </w:numPr>
      </w:pPr>
      <w:r>
        <w:t xml:space="preserve">Data nodes were unnecessary or modeled by mistake, and there is no need to maintain or replace them.</w:t>
      </w:r>
    </w:p>
    <w:p>
      <w:pPr>
        <w:pStyle w:val="FirstParagraph"/>
      </w:pPr>
      <w:r>
        <w:t xml:space="preserve">The process for this is as follows:</w:t>
      </w:r>
    </w:p>
    <w:p>
      <w:pPr>
        <w:pStyle w:val="Compact"/>
        <w:numPr>
          <w:ilvl w:val="0"/>
          <w:numId w:val="1017"/>
        </w:numPr>
      </w:pPr>
      <w:r>
        <w:t xml:space="preserve">Change the status of the applicable data nodes from</w:t>
      </w:r>
      <w:r>
        <w:t xml:space="preserve"> </w:t>
      </w:r>
      <w:r>
        <w:t xml:space="preserve">“current”</w:t>
      </w:r>
      <w:r>
        <w:t xml:space="preserve"> </w:t>
      </w:r>
      <w:r>
        <w:t xml:space="preserve">to</w:t>
      </w:r>
      <w:r>
        <w:t xml:space="preserve"> </w:t>
      </w:r>
      <w:r>
        <w:t xml:space="preserve">“deprecated”</w:t>
      </w:r>
      <w:r>
        <w:t xml:space="preserve"> </w:t>
      </w:r>
      <w:r>
        <w:t xml:space="preserve">by adding a status statement with the value</w:t>
      </w:r>
      <w:r>
        <w:t xml:space="preserve"> </w:t>
      </w:r>
      <w:r>
        <w:t xml:space="preserve">“deprecated”</w:t>
      </w:r>
      <w:r>
        <w:t xml:space="preserve">.</w:t>
      </w:r>
    </w:p>
    <w:p>
      <w:pPr>
        <w:pStyle w:val="Compact"/>
        <w:numPr>
          <w:ilvl w:val="0"/>
          <w:numId w:val="1017"/>
        </w:numPr>
      </w:pPr>
      <w:r>
        <w:t xml:space="preserve">The deprecated data nodes MUST remain in this state for at least two years.</w:t>
      </w:r>
    </w:p>
    <w:p>
      <w:pPr>
        <w:pStyle w:val="Compact"/>
        <w:numPr>
          <w:ilvl w:val="0"/>
          <w:numId w:val="1017"/>
        </w:numPr>
      </w:pPr>
      <w:r>
        <w:t xml:space="preserve">Beginning with the next publication after at least two years, the data nodes MAY be transitioned from</w:t>
      </w:r>
      <w:r>
        <w:t xml:space="preserve"> </w:t>
      </w:r>
      <w:r>
        <w:t xml:space="preserve">“deprecated”</w:t>
      </w:r>
      <w:r>
        <w:t xml:space="preserve"> </w:t>
      </w:r>
      <w:r>
        <w:t xml:space="preserve">to</w:t>
      </w:r>
      <w:r>
        <w:t xml:space="preserve"> </w:t>
      </w:r>
      <w:r>
        <w:t xml:space="preserve">“obsolete”</w:t>
      </w:r>
      <w:r>
        <w:t xml:space="preserve">.</w:t>
      </w:r>
    </w:p>
    <w:p>
      <w:pPr>
        <w:pStyle w:val="Compact"/>
        <w:numPr>
          <w:ilvl w:val="0"/>
          <w:numId w:val="1017"/>
        </w:numPr>
      </w:pPr>
      <w:r>
        <w:t xml:space="preserve">The obsoleted data nodes MUST never be deleted from the YANG model.</w:t>
      </w:r>
    </w:p>
    <w:bookmarkEnd w:id="119"/>
    <w:bookmarkStart w:id="122" w:name="sec:bbf-22-backwards-compatibility"/>
    <w:p>
      <w:pPr>
        <w:pStyle w:val="Heading3"/>
      </w:pPr>
      <w:r>
        <w:t xml:space="preserve">BBF-22: Backwards Compatibility</w:t>
      </w:r>
    </w:p>
    <w:p>
      <w:pPr>
        <w:pStyle w:val="FirstParagraph"/>
      </w:pPr>
      <w:r>
        <w:t xml:space="preserve">In general, BBF YANG modules SHOULD NOT introduce changes that are defined as backwards incompatible per RFC 7950</w:t>
      </w:r>
      <w:r>
        <w:t xml:space="preserve"> </w:t>
      </w:r>
      <w:hyperlink w:anchor="ref-RFC7950">
        <w:r>
          <w:rPr>
            <w:rStyle w:val="Hyperlink"/>
          </w:rPr>
          <w:t xml:space="preserve">[3]</w:t>
        </w:r>
      </w:hyperlink>
      <w:r>
        <w:t xml:space="preserve"> </w:t>
      </w:r>
      <w:r>
        <w:t xml:space="preserve">section</w:t>
      </w:r>
      <w:r>
        <w:t xml:space="preserve"> </w:t>
      </w:r>
      <w:hyperlink r:id="rId120">
        <w:r>
          <w:rPr>
            <w:rStyle w:val="Hyperlink"/>
          </w:rPr>
          <w:t xml:space="preserve">11</w:t>
        </w:r>
      </w:hyperlink>
      <w:r>
        <w:t xml:space="preserve">. Instead, add new definitions and use methods of deprecating and obsoleting previous definitions per RFC 7950</w:t>
      </w:r>
      <w:r>
        <w:t xml:space="preserve"> </w:t>
      </w:r>
      <w:hyperlink w:anchor="ref-RFC7950">
        <w:r>
          <w:rPr>
            <w:rStyle w:val="Hyperlink"/>
          </w:rPr>
          <w:t xml:space="preserve">[3]</w:t>
        </w:r>
      </w:hyperlink>
      <w:r>
        <w:t xml:space="preserve"> </w:t>
      </w:r>
      <w:r>
        <w:t xml:space="preserve">section</w:t>
      </w:r>
      <w:r>
        <w:t xml:space="preserve"> </w:t>
      </w:r>
      <w:hyperlink r:id="rId121">
        <w:r>
          <w:rPr>
            <w:rStyle w:val="Hyperlink"/>
          </w:rPr>
          <w:t xml:space="preserve">7.21.2</w:t>
        </w:r>
      </w:hyperlink>
      <w:r>
        <w:t xml:space="preserve"> </w:t>
      </w:r>
      <w:r>
        <w:t xml:space="preserve">and further clarified by BBF-21.</w:t>
      </w:r>
    </w:p>
    <w:p>
      <w:pPr>
        <w:pStyle w:val="BodyText"/>
      </w:pPr>
      <w:r>
        <w:t xml:space="preserve">However, experience has shown that in certain cases, changes that are backwards incompatible according to RFC 7950</w:t>
      </w:r>
      <w:r>
        <w:t xml:space="preserve"> </w:t>
      </w:r>
      <w:hyperlink w:anchor="ref-RFC7950">
        <w:r>
          <w:rPr>
            <w:rStyle w:val="Hyperlink"/>
          </w:rPr>
          <w:t xml:space="preserve">[3]</w:t>
        </w:r>
      </w:hyperlink>
      <w:r>
        <w:t xml:space="preserve"> </w:t>
      </w:r>
      <w:r>
        <w:t xml:space="preserve">section</w:t>
      </w:r>
      <w:r>
        <w:t xml:space="preserve"> </w:t>
      </w:r>
      <w:hyperlink r:id="rId120">
        <w:r>
          <w:rPr>
            <w:rStyle w:val="Hyperlink"/>
          </w:rPr>
          <w:t xml:space="preserve">11</w:t>
        </w:r>
      </w:hyperlink>
      <w:r>
        <w:t xml:space="preserve"> </w:t>
      </w:r>
      <w:r>
        <w:t xml:space="preserve">may nevertheless be compatible in conjunction with other changes made at the same time. Therefore, it may be possible to address a specific problem, through backwards incompatible changes.</w:t>
      </w:r>
    </w:p>
    <w:p>
      <w:pPr>
        <w:pStyle w:val="BodyText"/>
      </w:pPr>
      <w:r>
        <w:t xml:space="preserve">However, before agreeing to such changes to a published YANG module, Work Areas must ensure, to the greatest possible extent, that these changes will indeed be backwards compatible and not impact any existing operator configuration or operations or other SDOs or vendors augmentations of these standardized modules.</w:t>
      </w:r>
    </w:p>
    <w:bookmarkEnd w:id="122"/>
    <w:bookmarkStart w:id="123" w:name="sec:bbf-23-enable-vs.-enabled"/>
    <w:p>
      <w:pPr>
        <w:pStyle w:val="Heading3"/>
      </w:pPr>
      <w:r>
        <w:t xml:space="preserve">BBF-23:</w:t>
      </w:r>
      <w:r>
        <w:t xml:space="preserve"> </w:t>
      </w:r>
      <w:r>
        <w:t xml:space="preserve">“enable”</w:t>
      </w:r>
      <w:r>
        <w:t xml:space="preserve"> </w:t>
      </w:r>
      <w:r>
        <w:t xml:space="preserve">vs. </w:t>
      </w:r>
      <w:r>
        <w:t xml:space="preserve">“enabled”</w:t>
      </w:r>
    </w:p>
    <w:p>
      <w:pPr>
        <w:pStyle w:val="FirstParagraph"/>
      </w:pPr>
      <w:r>
        <w:t xml:space="preserve">Data nodes used to enable/disable some function, and whose identifier is intended to include the term</w:t>
      </w:r>
      <w:r>
        <w:t xml:space="preserve"> </w:t>
      </w:r>
      <w:r>
        <w:t xml:space="preserve">“enable”</w:t>
      </w:r>
      <w:r>
        <w:t xml:space="preserve">, either solely or as part of a larger name, SHALL use the</w:t>
      </w:r>
      <w:r>
        <w:t xml:space="preserve"> </w:t>
      </w:r>
      <w:r>
        <w:t xml:space="preserve">“enabled”</w:t>
      </w:r>
      <w:r>
        <w:t xml:space="preserve"> </w:t>
      </w:r>
      <w:r>
        <w:t xml:space="preserve">form of the word, e.g.,</w:t>
      </w:r>
      <w:r>
        <w:t xml:space="preserve"> </w:t>
      </w:r>
      <w:r>
        <w:t xml:space="preserve">‘enabled’</w:t>
      </w:r>
      <w:r>
        <w:t xml:space="preserve"> </w:t>
      </w:r>
      <w:r>
        <w:t xml:space="preserve">or</w:t>
      </w:r>
      <w:r>
        <w:t xml:space="preserve"> </w:t>
      </w:r>
      <w:r>
        <w:t xml:space="preserve">‘statistics-enabled’</w:t>
      </w:r>
      <w:r>
        <w:t xml:space="preserve">. This also applies to the names of enums or bits.</w:t>
      </w:r>
    </w:p>
    <w:bookmarkEnd w:id="123"/>
    <w:bookmarkStart w:id="124" w:name="sec:bbf-24-oper-state-vs.-oper-status"/>
    <w:p>
      <w:pPr>
        <w:pStyle w:val="Heading3"/>
      </w:pPr>
      <w:r>
        <w:t xml:space="preserve">BBF-24:</w:t>
      </w:r>
      <w:r>
        <w:t xml:space="preserve"> </w:t>
      </w:r>
      <w:r>
        <w:t xml:space="preserve">“oper-state”</w:t>
      </w:r>
      <w:r>
        <w:t xml:space="preserve"> </w:t>
      </w:r>
      <w:r>
        <w:t xml:space="preserve">vs. </w:t>
      </w:r>
      <w:r>
        <w:t xml:space="preserve">“oper-status”</w:t>
      </w:r>
    </w:p>
    <w:p>
      <w:pPr>
        <w:pStyle w:val="FirstParagraph"/>
      </w:pPr>
      <w:r>
        <w:t xml:space="preserve">BBF YANG modules SHALL use the term</w:t>
      </w:r>
      <w:r>
        <w:t xml:space="preserve"> </w:t>
      </w:r>
      <w:r>
        <w:t xml:space="preserve">‘oper-state’</w:t>
      </w:r>
      <w:r>
        <w:t xml:space="preserve"> </w:t>
      </w:r>
      <w:r>
        <w:t xml:space="preserve">when defining a data node that reports the operational state. This is applicable whether it is the full name or part of the name of the data node, e.g.,</w:t>
      </w:r>
      <w:r>
        <w:t xml:space="preserve"> </w:t>
      </w:r>
      <w:r>
        <w:t xml:space="preserve">‘oper-state’</w:t>
      </w:r>
      <w:r>
        <w:t xml:space="preserve">,</w:t>
      </w:r>
      <w:r>
        <w:t xml:space="preserve"> </w:t>
      </w:r>
      <w:r>
        <w:t xml:space="preserve">‘oper-state-timestamp’</w:t>
      </w:r>
      <w:r>
        <w:t xml:space="preserve">.</w:t>
      </w:r>
    </w:p>
    <w:bookmarkEnd w:id="124"/>
    <w:bookmarkStart w:id="125" w:name="sec:bbf-25-reference-statements"/>
    <w:p>
      <w:pPr>
        <w:pStyle w:val="Heading3"/>
      </w:pPr>
      <w:r>
        <w:t xml:space="preserve">BBF-25: Reference Statements</w:t>
      </w:r>
    </w:p>
    <w:p>
      <w:pPr>
        <w:pStyle w:val="FirstParagraph"/>
      </w:pPr>
      <w:r>
        <w:t xml:space="preserve">The goal of a reference statement is not only to completely and unambiguously guide the user to the documentation that supports the data node(s) being modeled, but also to enable the user to locate data nodes within YANG modules that implement specific attributes or parameters specified in the given documentation by searching through the YANG modules for references to those attributes or parameters. To that end, the following guideline is provided.</w:t>
      </w:r>
    </w:p>
    <w:p>
      <w:pPr>
        <w:pStyle w:val="BodyText"/>
      </w:pPr>
      <w:r>
        <w:t xml:space="preserve">Reference statements SHALL reference technical specifications in a consistent manner using one or both of the following formats:</w:t>
      </w:r>
    </w:p>
    <w:p>
      <w:pPr>
        <w:pStyle w:val="SourceCode"/>
      </w:pPr>
      <w:r>
        <w:rPr>
          <w:rStyle w:val="VerbatimChar"/>
        </w:rPr>
        <w:t xml:space="preserve">reference</w:t>
      </w:r>
      <w:r>
        <w:br/>
      </w:r>
      <w:r>
        <w:rPr>
          <w:rStyle w:val="VerbatimChar"/>
        </w:rPr>
        <w:t xml:space="preserve">  "[&lt;single-reference&gt;; &lt;EOL&gt;]* &lt;single-reference&gt;";</w:t>
      </w:r>
      <w:r>
        <w:br/>
      </w:r>
      <w:r>
        <w:br/>
      </w:r>
      <w:r>
        <w:rPr>
          <w:rStyle w:val="VerbatimChar"/>
        </w:rPr>
        <w:t xml:space="preserve">&lt;single-reference&gt; ::=  [&lt;SDO&gt;] &lt;doc#&gt; [(&lt;version&gt;)] [&lt;R/S/C/T/F&gt;] [- &lt;descr&gt;] | &lt;URL&gt; [- &lt;descr&gt;]</w:t>
      </w:r>
    </w:p>
    <w:p>
      <w:pPr>
        <w:pStyle w:val="FirstParagraph"/>
      </w:pPr>
      <w:r>
        <w:t xml:space="preserve">where</w:t>
      </w:r>
    </w:p>
    <w:p>
      <w:pPr>
        <w:pStyle w:val="Compact"/>
        <w:numPr>
          <w:ilvl w:val="0"/>
          <w:numId w:val="1018"/>
        </w:numPr>
      </w:pPr>
      <w:r>
        <w:t xml:space="preserve">&lt;SDO&gt;: Standards Defining Organization</w:t>
      </w:r>
    </w:p>
    <w:p>
      <w:pPr>
        <w:pStyle w:val="Compact"/>
        <w:numPr>
          <w:ilvl w:val="1"/>
          <w:numId w:val="1019"/>
        </w:numPr>
      </w:pPr>
      <w:r>
        <w:t xml:space="preserve">Examples: IEEE, ITU-T</w:t>
      </w:r>
    </w:p>
    <w:p>
      <w:pPr>
        <w:pStyle w:val="Compact"/>
        <w:numPr>
          <w:ilvl w:val="1"/>
          <w:numId w:val="1019"/>
        </w:numPr>
      </w:pPr>
      <w:r>
        <w:t xml:space="preserve">Optional: For well known document types, e.g., RFC implies IETF and TR implies BBF, the SDO is not required.</w:t>
      </w:r>
    </w:p>
    <w:p>
      <w:pPr>
        <w:pStyle w:val="Compact"/>
        <w:numPr>
          <w:ilvl w:val="0"/>
          <w:numId w:val="1018"/>
        </w:numPr>
      </w:pPr>
      <w:r>
        <w:t xml:space="preserve">&lt;doc#&gt;: Document number</w:t>
      </w:r>
    </w:p>
    <w:p>
      <w:pPr>
        <w:pStyle w:val="Compact"/>
        <w:numPr>
          <w:ilvl w:val="1"/>
          <w:numId w:val="1020"/>
        </w:numPr>
      </w:pPr>
      <w:r>
        <w:t xml:space="preserve">Examples: TR-101i2, RFC 7950</w:t>
      </w:r>
    </w:p>
    <w:p>
      <w:pPr>
        <w:pStyle w:val="Compact"/>
        <w:numPr>
          <w:ilvl w:val="1"/>
          <w:numId w:val="1020"/>
        </w:numPr>
      </w:pPr>
      <w:r>
        <w:t xml:space="preserve">Mandatory</w:t>
      </w:r>
    </w:p>
    <w:p>
      <w:pPr>
        <w:pStyle w:val="Compact"/>
        <w:numPr>
          <w:ilvl w:val="1"/>
          <w:numId w:val="1020"/>
        </w:numPr>
      </w:pPr>
      <w:r>
        <w:t xml:space="preserve">For BBF documents, the Issue and/or Amendment and/or Corrigendum are included in the document number in the abbreviated format as described in IETF-7, e.g., TR-101i2, TR-385i2a1.</w:t>
      </w:r>
    </w:p>
    <w:p>
      <w:pPr>
        <w:pStyle w:val="Compact"/>
        <w:numPr>
          <w:ilvl w:val="0"/>
          <w:numId w:val="1018"/>
        </w:numPr>
      </w:pPr>
      <w:r>
        <w:t xml:space="preserve">&lt;version&gt;: Version or revision number and/or date</w:t>
      </w:r>
    </w:p>
    <w:p>
      <w:pPr>
        <w:pStyle w:val="Compact"/>
        <w:numPr>
          <w:ilvl w:val="1"/>
          <w:numId w:val="1021"/>
        </w:numPr>
      </w:pPr>
      <w:r>
        <w:t xml:space="preserve">Examples: (Revision 12.3), (2008/07)</w:t>
      </w:r>
    </w:p>
    <w:p>
      <w:pPr>
        <w:pStyle w:val="Compact"/>
        <w:numPr>
          <w:ilvl w:val="1"/>
          <w:numId w:val="1021"/>
        </w:numPr>
      </w:pPr>
      <w:r>
        <w:t xml:space="preserve">Optional: For documents whose name implies or specifies the version, e.g., RFC 8348, TR-383a6, additional version information is not required.</w:t>
      </w:r>
    </w:p>
    <w:p>
      <w:pPr>
        <w:pStyle w:val="Compact"/>
        <w:numPr>
          <w:ilvl w:val="0"/>
          <w:numId w:val="1018"/>
        </w:numPr>
      </w:pPr>
      <w:r>
        <w:t xml:space="preserve">&lt;R/S/C/T/F&gt;: Requirement/Section/Clause/Table/Figure</w:t>
      </w:r>
    </w:p>
    <w:p>
      <w:pPr>
        <w:pStyle w:val="Compact"/>
        <w:numPr>
          <w:ilvl w:val="1"/>
          <w:numId w:val="1022"/>
        </w:numPr>
      </w:pPr>
      <w:r>
        <w:t xml:space="preserve">Examples: R-13, Section 3.6, Clause 7.2.1, Table 2, Figure 5-4</w:t>
      </w:r>
    </w:p>
    <w:p>
      <w:pPr>
        <w:pStyle w:val="Compact"/>
        <w:numPr>
          <w:ilvl w:val="1"/>
          <w:numId w:val="1022"/>
        </w:numPr>
      </w:pPr>
      <w:r>
        <w:t xml:space="preserve">Optional: Only if applicable.</w:t>
      </w:r>
    </w:p>
    <w:p>
      <w:pPr>
        <w:pStyle w:val="Compact"/>
        <w:numPr>
          <w:ilvl w:val="1"/>
          <w:numId w:val="1022"/>
        </w:numPr>
      </w:pPr>
      <w:r>
        <w:t xml:space="preserve">Terminology MUST align with the terms used by the reference, e.g., Sections for RFCs, Clauses for ITU-T specifications.</w:t>
      </w:r>
    </w:p>
    <w:p>
      <w:pPr>
        <w:pStyle w:val="Compact"/>
        <w:numPr>
          <w:ilvl w:val="1"/>
          <w:numId w:val="1022"/>
        </w:numPr>
      </w:pPr>
      <w:r>
        <w:t xml:space="preserve">First letter is capitalized, e.g.,</w:t>
      </w:r>
      <w:r>
        <w:t xml:space="preserve"> </w:t>
      </w:r>
      <w:r>
        <w:t xml:space="preserve">“Section”</w:t>
      </w:r>
      <w:r>
        <w:t xml:space="preserve"> </w:t>
      </w:r>
      <w:r>
        <w:t xml:space="preserve">instead of</w:t>
      </w:r>
      <w:r>
        <w:t xml:space="preserve"> </w:t>
      </w:r>
      <w:r>
        <w:t xml:space="preserve">“section”</w:t>
      </w:r>
      <w:r>
        <w:t xml:space="preserve">.</w:t>
      </w:r>
    </w:p>
    <w:p>
      <w:pPr>
        <w:pStyle w:val="Compact"/>
        <w:numPr>
          <w:ilvl w:val="1"/>
          <w:numId w:val="1022"/>
        </w:numPr>
      </w:pPr>
      <w:r>
        <w:t xml:space="preserve">If multiple are applicable in a given document, treat each as a separate reference.</w:t>
      </w:r>
    </w:p>
    <w:p>
      <w:pPr>
        <w:pStyle w:val="Compact"/>
        <w:numPr>
          <w:ilvl w:val="0"/>
          <w:numId w:val="1018"/>
        </w:numPr>
      </w:pPr>
      <w:r>
        <w:t xml:space="preserve">&lt;descr&gt;: Description of the reference</w:t>
      </w:r>
    </w:p>
    <w:p>
      <w:pPr>
        <w:pStyle w:val="Compact"/>
        <w:numPr>
          <w:ilvl w:val="1"/>
          <w:numId w:val="1023"/>
        </w:numPr>
      </w:pPr>
      <w:r>
        <w:t xml:space="preserve">Examples: variable name or specific identifier within the Section or Clause</w:t>
      </w:r>
    </w:p>
    <w:p>
      <w:pPr>
        <w:pStyle w:val="Compact"/>
        <w:numPr>
          <w:ilvl w:val="1"/>
          <w:numId w:val="1023"/>
        </w:numPr>
      </w:pPr>
      <w:r>
        <w:t xml:space="preserve">Optional: Should be used when it is possible to uniquely identify the parameter being modeled within the given reference.</w:t>
      </w:r>
    </w:p>
    <w:p>
      <w:pPr>
        <w:pStyle w:val="Compact"/>
        <w:numPr>
          <w:ilvl w:val="2"/>
          <w:numId w:val="1024"/>
        </w:numPr>
      </w:pPr>
      <w:r>
        <w:t xml:space="preserve">Examples:</w:t>
      </w:r>
    </w:p>
    <w:p>
      <w:pPr>
        <w:pStyle w:val="Compact"/>
        <w:numPr>
          <w:ilvl w:val="3"/>
          <w:numId w:val="1025"/>
        </w:numPr>
      </w:pPr>
      <w:r>
        <w:t xml:space="preserve">An ME defined in an ITU-T G.988 Clause contains one or more parameters. If the reference is for one specific parameter, it must be identified in the reference, e.g.,</w:t>
      </w:r>
      <w:r>
        <w:t xml:space="preserve"> </w:t>
      </w:r>
      <w:r>
        <w:t xml:space="preserve">“ITU-T G.988 Clause 9.9.6 - PSTN protocol variant”</w:t>
      </w:r>
      <w:r>
        <w:t xml:space="preserve">.</w:t>
      </w:r>
    </w:p>
    <w:p>
      <w:pPr>
        <w:pStyle w:val="Compact"/>
        <w:numPr>
          <w:ilvl w:val="3"/>
          <w:numId w:val="1025"/>
        </w:numPr>
      </w:pPr>
      <w:r>
        <w:t xml:space="preserve">A parameter defined in an ITU-T G.997.x Clause is typically fully contained within the clause, i.e., no ambiguity. However, for implementers, it is useful to be able to quickly search for a desired parameter when the Clause is not known. For this use case, both the descriptive and shorthand (if applicable) representation should be identified, e.g.,</w:t>
      </w:r>
      <w:r>
        <w:t xml:space="preserve"> </w:t>
      </w:r>
      <w:r>
        <w:t xml:space="preserve">“ITU-T G.997.2 Clause 7.2.1.1 - Maximum net data rate (MAXNDRds/us)”</w:t>
      </w:r>
      <w:r>
        <w:t xml:space="preserve">.</w:t>
      </w:r>
    </w:p>
    <w:p>
      <w:pPr>
        <w:pStyle w:val="Compact"/>
        <w:numPr>
          <w:ilvl w:val="3"/>
          <w:numId w:val="1025"/>
        </w:numPr>
      </w:pPr>
      <w:r>
        <w:t xml:space="preserve">However, if the G.997.x parameter represents more than one distinct value, e.g., upstream and downstream, and the data node only applies to one, the reference should only contain the value for which it is applicable, e.g.,</w:t>
      </w:r>
      <w:r>
        <w:t xml:space="preserve"> </w:t>
      </w:r>
      <w:r>
        <w:t xml:space="preserve">“ITU-T G.997.2 Clause 7.2.1.1 - Maximum net data rate downstream (MAXNDRds)”</w:t>
      </w:r>
      <w:r>
        <w:t xml:space="preserve">.</w:t>
      </w:r>
    </w:p>
    <w:p>
      <w:pPr>
        <w:pStyle w:val="Compact"/>
        <w:numPr>
          <w:ilvl w:val="3"/>
          <w:numId w:val="1025"/>
        </w:numPr>
      </w:pPr>
      <w:r>
        <w:t xml:space="preserve">A parameter defined in a Table in SFF-8472 is specified by its memory location (address and byte numbers). References for these types of parameters should include the address and bytes, e.g.,</w:t>
      </w:r>
      <w:r>
        <w:t xml:space="preserve"> </w:t>
      </w:r>
      <w:r>
        <w:t xml:space="preserve">“SFF-8472 (Revision 12.4) Table 4-1 - Address A0h, Bytes 96-127”</w:t>
      </w:r>
      <w:r>
        <w:t xml:space="preserve">.</w:t>
      </w:r>
    </w:p>
    <w:p>
      <w:pPr>
        <w:pStyle w:val="Compact"/>
        <w:numPr>
          <w:ilvl w:val="1"/>
          <w:numId w:val="1023"/>
        </w:numPr>
      </w:pPr>
      <w:r>
        <w:t xml:space="preserve">In general, the title associated with the reference should not be used unless it also represents one of the above.</w:t>
      </w:r>
    </w:p>
    <w:p>
      <w:pPr>
        <w:pStyle w:val="Compact"/>
        <w:numPr>
          <w:ilvl w:val="0"/>
          <w:numId w:val="1018"/>
        </w:numPr>
      </w:pPr>
      <w:r>
        <w:t xml:space="preserve">&lt;URL&gt;: The URL of the associated reference used when there is no formal technical specification</w:t>
      </w:r>
    </w:p>
    <w:p>
      <w:pPr>
        <w:pStyle w:val="Compact"/>
        <w:numPr>
          <w:ilvl w:val="1"/>
          <w:numId w:val="1026"/>
        </w:numPr>
      </w:pPr>
      <w:r>
        <w:t xml:space="preserve">Example: github.com/grpc/grpc/blob/master/doc/connection-backoff.md</w:t>
      </w:r>
    </w:p>
    <w:p>
      <w:pPr>
        <w:pStyle w:val="Compact"/>
        <w:numPr>
          <w:ilvl w:val="1"/>
          <w:numId w:val="1026"/>
        </w:numPr>
      </w:pPr>
      <w:r>
        <w:t xml:space="preserve">Do not include the URL scheme, e.g., http:// or https://, as it may change. For example, a site may move from an unsecure (http) scheme to a secure (https) scheme.</w:t>
      </w:r>
    </w:p>
    <w:p>
      <w:pPr>
        <w:pStyle w:val="Compact"/>
        <w:numPr>
          <w:ilvl w:val="0"/>
          <w:numId w:val="1018"/>
        </w:numPr>
      </w:pPr>
      <w:r>
        <w:t xml:space="preserve">‘;’</w:t>
      </w:r>
      <w:r>
        <w:t xml:space="preserve">: Requirement separator</w:t>
      </w:r>
    </w:p>
    <w:p>
      <w:pPr>
        <w:pStyle w:val="Compact"/>
        <w:numPr>
          <w:ilvl w:val="1"/>
          <w:numId w:val="1027"/>
        </w:numPr>
      </w:pPr>
      <w:r>
        <w:t xml:space="preserve">Mandatory: A semicolon MUST be used to terminate all but the last reference when there are multiple references in a reference statement.</w:t>
      </w:r>
    </w:p>
    <w:p>
      <w:pPr>
        <w:pStyle w:val="Compact"/>
        <w:numPr>
          <w:ilvl w:val="1"/>
          <w:numId w:val="1027"/>
        </w:numPr>
      </w:pPr>
      <w:r>
        <w:t xml:space="preserve">Each reference MUST start on a new line.</w:t>
      </w:r>
    </w:p>
    <w:p>
      <w:pPr>
        <w:pStyle w:val="Compact"/>
        <w:numPr>
          <w:ilvl w:val="1"/>
          <w:numId w:val="1027"/>
        </w:numPr>
      </w:pPr>
      <w:r>
        <w:t xml:space="preserve">This is not applicable when there is only one reference in the reference statement.</w:t>
      </w:r>
    </w:p>
    <w:p>
      <w:pPr>
        <w:pStyle w:val="Compact"/>
        <w:numPr>
          <w:ilvl w:val="0"/>
          <w:numId w:val="1018"/>
        </w:numPr>
      </w:pPr>
      <w:r>
        <w:t xml:space="preserve">If a single reference spans multiple lines, the first character on the second and subsequent lines of the reference SHALL align under the first character on the first line of the reference.</w:t>
      </w:r>
    </w:p>
    <w:p>
      <w:pPr>
        <w:pStyle w:val="FirstParagraph"/>
      </w:pPr>
      <w:r>
        <w:t xml:space="preserve">Example:</w:t>
      </w:r>
    </w:p>
    <w:p>
      <w:pPr>
        <w:pStyle w:val="SourceCode"/>
      </w:pPr>
      <w:r>
        <w:rPr>
          <w:rStyle w:val="VerbatimChar"/>
        </w:rPr>
        <w:t xml:space="preserve">reference</w:t>
      </w:r>
      <w:r>
        <w:br/>
      </w:r>
      <w:r>
        <w:rPr>
          <w:rStyle w:val="VerbatimChar"/>
        </w:rPr>
        <w:t xml:space="preserve">  "RFC 5519 Section 5 - mgmdRouterInterfaceQueryInterval;</w:t>
      </w:r>
      <w:r>
        <w:br/>
      </w:r>
      <w:r>
        <w:rPr>
          <w:rStyle w:val="VerbatimChar"/>
        </w:rPr>
        <w:t xml:space="preserve">   TR-101i2 Table 2;</w:t>
      </w:r>
      <w:r>
        <w:br/>
      </w:r>
      <w:r>
        <w:rPr>
          <w:rStyle w:val="VerbatimChar"/>
        </w:rPr>
        <w:t xml:space="preserve">   SFF-8472 (Revision 12.4) Table 9-5 - Address A2h,</w:t>
      </w:r>
      <w:r>
        <w:br/>
      </w:r>
      <w:r>
        <w:rPr>
          <w:rStyle w:val="VerbatimChar"/>
        </w:rPr>
        <w:t xml:space="preserve">   Bytes 40-41;</w:t>
      </w:r>
      <w:r>
        <w:br/>
      </w:r>
      <w:r>
        <w:rPr>
          <w:rStyle w:val="VerbatimChar"/>
        </w:rPr>
        <w:t xml:space="preserve">   ITU-T G.997.2 Clause 7.11.1.1 - Net data rate (NDRds/us);</w:t>
      </w:r>
      <w:r>
        <w:br/>
      </w:r>
      <w:r>
        <w:rPr>
          <w:rStyle w:val="VerbatimChar"/>
        </w:rPr>
        <w:t xml:space="preserve">   ITU-T G.997.2 Clause 7.2.1.1 - Maximum net data rate downstream (MAXNDRds);</w:t>
      </w:r>
      <w:r>
        <w:br/>
      </w:r>
      <w:r>
        <w:rPr>
          <w:rStyle w:val="VerbatimChar"/>
        </w:rPr>
        <w:t xml:space="preserve">   IEEE 802.1Q (2018) Clause 20.23.3;</w:t>
      </w:r>
      <w:r>
        <w:br/>
      </w:r>
      <w:r>
        <w:rPr>
          <w:rStyle w:val="VerbatimChar"/>
        </w:rPr>
        <w:t xml:space="preserve">   IEEE 802.1Q (2018) Table 20-1 - xconCCMdefect;</w:t>
      </w:r>
      <w:r>
        <w:br/>
      </w:r>
      <w:r>
        <w:rPr>
          <w:rStyle w:val="VerbatimChar"/>
        </w:rPr>
        <w:t xml:space="preserve">   github.com/grpc/grpc/blob/master/doc/connection-backoff.md - INITIAL_BACKOFF";</w:t>
      </w:r>
    </w:p>
    <w:p>
      <w:pPr>
        <w:pStyle w:val="FirstParagraph"/>
      </w:pPr>
      <w:r>
        <w:t xml:space="preserve">Additional Notes:</w:t>
      </w:r>
    </w:p>
    <w:p>
      <w:pPr>
        <w:pStyle w:val="Compact"/>
        <w:numPr>
          <w:ilvl w:val="0"/>
          <w:numId w:val="1028"/>
        </w:numPr>
      </w:pPr>
      <w:r>
        <w:t xml:space="preserve">While external references must be documented in the</w:t>
      </w:r>
      <w:r>
        <w:t xml:space="preserve"> </w:t>
      </w:r>
      <w:r>
        <w:t xml:space="preserve">‘reference’</w:t>
      </w:r>
      <w:r>
        <w:t xml:space="preserve"> </w:t>
      </w:r>
      <w:r>
        <w:t xml:space="preserve">statement, it is also allowed to refer to them in the description itself.</w:t>
      </w:r>
    </w:p>
    <w:p>
      <w:pPr>
        <w:pStyle w:val="Compact"/>
        <w:numPr>
          <w:ilvl w:val="0"/>
          <w:numId w:val="1028"/>
        </w:numPr>
      </w:pPr>
      <w:r>
        <w:t xml:space="preserve">This guideline does not apply to a reference statement within a revision statement. Those reference statements have a unique format used for drafts and publication.</w:t>
      </w:r>
    </w:p>
    <w:p>
      <w:pPr>
        <w:pStyle w:val="Compact"/>
        <w:numPr>
          <w:ilvl w:val="0"/>
          <w:numId w:val="1028"/>
        </w:numPr>
      </w:pPr>
      <w:r>
        <w:t xml:space="preserve">URL references should be periodically reviewed to ensure they still exist or have not been moved.</w:t>
      </w:r>
    </w:p>
    <w:bookmarkEnd w:id="125"/>
    <w:bookmarkStart w:id="128" w:name="sec:bbf-26-body-statements"/>
    <w:p>
      <w:pPr>
        <w:pStyle w:val="Heading3"/>
      </w:pPr>
      <w:r>
        <w:t xml:space="preserve">BBF-26: Body Statements</w:t>
      </w:r>
    </w:p>
    <w:p>
      <w:pPr>
        <w:pStyle w:val="FirstParagraph"/>
      </w:pPr>
      <w:r>
        <w:t xml:space="preserve">The order of body statements in BBF YANG modules SHOULD follow the order as stated in the body-stmt ABNF grammar defined in RFC 7950</w:t>
      </w:r>
      <w:r>
        <w:t xml:space="preserve"> </w:t>
      </w:r>
      <w:hyperlink w:anchor="ref-RFC7950">
        <w:r>
          <w:rPr>
            <w:rStyle w:val="Hyperlink"/>
          </w:rPr>
          <w:t xml:space="preserve">[3]</w:t>
        </w:r>
      </w:hyperlink>
      <w:r>
        <w:t xml:space="preserve"> </w:t>
      </w:r>
      <w:r>
        <w:t xml:space="preserve">section</w:t>
      </w:r>
      <w:r>
        <w:t xml:space="preserve"> </w:t>
      </w:r>
      <w:hyperlink r:id="rId126">
        <w:r>
          <w:rPr>
            <w:rStyle w:val="Hyperlink"/>
          </w:rPr>
          <w:t xml:space="preserve">14</w:t>
        </w:r>
      </w:hyperlink>
      <w:r>
        <w:t xml:space="preserve"> </w:t>
      </w:r>
      <w:r>
        <w:t xml:space="preserve">and as shown in the YANG Module Template defined in RFC 8407</w:t>
      </w:r>
      <w:r>
        <w:t xml:space="preserve"> </w:t>
      </w:r>
      <w:hyperlink w:anchor="ref-RFC8407">
        <w:r>
          <w:rPr>
            <w:rStyle w:val="Hyperlink"/>
          </w:rPr>
          <w:t xml:space="preserve">[5]</w:t>
        </w:r>
      </w:hyperlink>
      <w:r>
        <w:t xml:space="preserve"> </w:t>
      </w:r>
      <w:r>
        <w:t xml:space="preserve">Appendix</w:t>
      </w:r>
      <w:r>
        <w:t xml:space="preserve"> </w:t>
      </w:r>
      <w:hyperlink r:id="rId127">
        <w:r>
          <w:rPr>
            <w:rStyle w:val="Hyperlink"/>
          </w:rPr>
          <w:t xml:space="preserve">B</w:t>
        </w:r>
      </w:hyperlink>
      <w:r>
        <w:t xml:space="preserve">. Note that while the ABNF grammar specifies deviation statements follow notifications, the YANG Module Template states</w:t>
      </w:r>
      <w:r>
        <w:t xml:space="preserve"> </w:t>
      </w:r>
      <w:r>
        <w:t xml:space="preserve">“DO NOT put deviation statements in a published module”</w:t>
      </w:r>
      <w:r>
        <w:t xml:space="preserve">. BBF YANG modules MUST follow this stated guideline on deviation statements.</w:t>
      </w:r>
    </w:p>
    <w:p>
      <w:pPr>
        <w:pStyle w:val="BodyText"/>
      </w:pPr>
      <w:r>
        <w:t xml:space="preserve">Body Statement Order:</w:t>
      </w:r>
    </w:p>
    <w:p>
      <w:pPr>
        <w:pStyle w:val="Compact"/>
        <w:numPr>
          <w:ilvl w:val="0"/>
          <w:numId w:val="1029"/>
        </w:numPr>
      </w:pPr>
      <w:r>
        <w:t xml:space="preserve">extension statements</w:t>
      </w:r>
    </w:p>
    <w:p>
      <w:pPr>
        <w:pStyle w:val="Compact"/>
        <w:numPr>
          <w:ilvl w:val="0"/>
          <w:numId w:val="1029"/>
        </w:numPr>
      </w:pPr>
      <w:r>
        <w:t xml:space="preserve">feature statements</w:t>
      </w:r>
    </w:p>
    <w:p>
      <w:pPr>
        <w:pStyle w:val="Compact"/>
        <w:numPr>
          <w:ilvl w:val="0"/>
          <w:numId w:val="1029"/>
        </w:numPr>
      </w:pPr>
      <w:r>
        <w:t xml:space="preserve">identity statements</w:t>
      </w:r>
    </w:p>
    <w:p>
      <w:pPr>
        <w:pStyle w:val="Compact"/>
        <w:numPr>
          <w:ilvl w:val="0"/>
          <w:numId w:val="1029"/>
        </w:numPr>
      </w:pPr>
      <w:r>
        <w:t xml:space="preserve">typedef statements</w:t>
      </w:r>
    </w:p>
    <w:p>
      <w:pPr>
        <w:pStyle w:val="Compact"/>
        <w:numPr>
          <w:ilvl w:val="0"/>
          <w:numId w:val="1029"/>
        </w:numPr>
      </w:pPr>
      <w:r>
        <w:t xml:space="preserve">grouping statements</w:t>
      </w:r>
    </w:p>
    <w:p>
      <w:pPr>
        <w:pStyle w:val="Compact"/>
        <w:numPr>
          <w:ilvl w:val="0"/>
          <w:numId w:val="1029"/>
        </w:numPr>
      </w:pPr>
      <w:r>
        <w:t xml:space="preserve">data definition statements</w:t>
      </w:r>
    </w:p>
    <w:p>
      <w:pPr>
        <w:pStyle w:val="Compact"/>
        <w:numPr>
          <w:ilvl w:val="0"/>
          <w:numId w:val="1029"/>
        </w:numPr>
      </w:pPr>
      <w:r>
        <w:t xml:space="preserve">augment statements</w:t>
      </w:r>
    </w:p>
    <w:p>
      <w:pPr>
        <w:pStyle w:val="Compact"/>
        <w:numPr>
          <w:ilvl w:val="0"/>
          <w:numId w:val="1029"/>
        </w:numPr>
      </w:pPr>
      <w:r>
        <w:t xml:space="preserve">rpc statements</w:t>
      </w:r>
    </w:p>
    <w:p>
      <w:pPr>
        <w:pStyle w:val="Compact"/>
        <w:numPr>
          <w:ilvl w:val="0"/>
          <w:numId w:val="1029"/>
        </w:numPr>
      </w:pPr>
      <w:r>
        <w:t xml:space="preserve">notification statements</w:t>
      </w:r>
    </w:p>
    <w:bookmarkEnd w:id="128"/>
    <w:bookmarkStart w:id="129" w:name="Xba1c62665070be3155a84b4d1da73d5a18d616d"/>
    <w:p>
      <w:pPr>
        <w:pStyle w:val="Heading3"/>
      </w:pPr>
      <w:r>
        <w:t xml:space="preserve">BBF-27:</w:t>
      </w:r>
      <w:r>
        <w:t xml:space="preserve"> </w:t>
      </w:r>
      <w:r>
        <w:t xml:space="preserve">‘list’</w:t>
      </w:r>
      <w:r>
        <w:t xml:space="preserve"> </w:t>
      </w:r>
      <w:r>
        <w:t xml:space="preserve">and</w:t>
      </w:r>
      <w:r>
        <w:t xml:space="preserve"> </w:t>
      </w:r>
      <w:r>
        <w:t xml:space="preserve">‘leaf-list’</w:t>
      </w:r>
      <w:r>
        <w:t xml:space="preserve"> </w:t>
      </w:r>
      <w:r>
        <w:t xml:space="preserve">Naming and Descriptions</w:t>
      </w:r>
    </w:p>
    <w:p>
      <w:pPr>
        <w:pStyle w:val="FirstParagraph"/>
      </w:pPr>
      <w:r>
        <w:t xml:space="preserve">The name of a</w:t>
      </w:r>
      <w:r>
        <w:t xml:space="preserve"> </w:t>
      </w:r>
      <w:r>
        <w:t xml:space="preserve">‘list’</w:t>
      </w:r>
      <w:r>
        <w:t xml:space="preserve"> </w:t>
      </w:r>
      <w:r>
        <w:t xml:space="preserve">or</w:t>
      </w:r>
      <w:r>
        <w:t xml:space="preserve"> </w:t>
      </w:r>
      <w:r>
        <w:t xml:space="preserve">‘leaf-list’</w:t>
      </w:r>
      <w:r>
        <w:t xml:space="preserve"> </w:t>
      </w:r>
      <w:r>
        <w:t xml:space="preserve">data node SHALL be in the singular form. The motiviation is that the XML representation repeats the name for each entry.</w:t>
      </w:r>
    </w:p>
    <w:p>
      <w:pPr>
        <w:pStyle w:val="BodyText"/>
      </w:pPr>
      <w:r>
        <w:t xml:space="preserve">Example YANG:</w:t>
      </w:r>
    </w:p>
    <w:p>
      <w:pPr>
        <w:pStyle w:val="SourceCode"/>
      </w:pPr>
      <w:r>
        <w:rPr>
          <w:rStyle w:val="VerbatimChar"/>
        </w:rPr>
        <w:t xml:space="preserve">list traffic-management-profile {</w:t>
      </w:r>
      <w:r>
        <w:br/>
      </w:r>
      <w:r>
        <w:rPr>
          <w:rStyle w:val="VerbatimChar"/>
        </w:rPr>
        <w:t xml:space="preserve">  key name;</w:t>
      </w:r>
      <w:r>
        <w:br/>
      </w:r>
      <w:r>
        <w:rPr>
          <w:rStyle w:val="VerbatimChar"/>
        </w:rPr>
        <w:t xml:space="preserve">  description</w:t>
      </w:r>
      <w:r>
        <w:br/>
      </w:r>
      <w:r>
        <w:rPr>
          <w:rStyle w:val="VerbatimChar"/>
        </w:rPr>
        <w:t xml:space="preserve">    "A traffic management profile.";</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w:t>
      </w:r>
    </w:p>
    <w:p>
      <w:pPr>
        <w:pStyle w:val="FirstParagraph"/>
      </w:pPr>
      <w:r>
        <w:t xml:space="preserve">Example XML:</w:t>
      </w:r>
    </w:p>
    <w:p>
      <w:pPr>
        <w:pStyle w:val="SourceCode"/>
      </w:pPr>
      <w:r>
        <w:rPr>
          <w:rStyle w:val="VerbatimChar"/>
        </w:rPr>
        <w:t xml:space="preserve">&lt;traffic-management-profile&gt;</w:t>
      </w:r>
      <w:r>
        <w:br/>
      </w:r>
      <w:r>
        <w:rPr>
          <w:rStyle w:val="VerbatimChar"/>
        </w:rPr>
        <w:t xml:space="preserve">  &lt;name&gt;multicast&lt;/name&gt;</w:t>
      </w:r>
      <w:r>
        <w:br/>
      </w:r>
      <w:r>
        <w:rPr>
          <w:rStyle w:val="VerbatimChar"/>
        </w:rPr>
        <w:t xml:space="preserve">&lt;/traffic-management-profile&gt;</w:t>
      </w:r>
      <w:r>
        <w:br/>
      </w:r>
      <w:r>
        <w:rPr>
          <w:rStyle w:val="VerbatimChar"/>
        </w:rPr>
        <w:t xml:space="preserve">&lt;traffic-management-profile&gt;</w:t>
      </w:r>
      <w:r>
        <w:br/>
      </w:r>
      <w:r>
        <w:rPr>
          <w:rStyle w:val="VerbatimChar"/>
        </w:rPr>
        <w:t xml:space="preserve">  &lt;name&gt;hsi&lt;/name&gt;</w:t>
      </w:r>
      <w:r>
        <w:br/>
      </w:r>
      <w:r>
        <w:rPr>
          <w:rStyle w:val="VerbatimChar"/>
        </w:rPr>
        <w:t xml:space="preserve">&lt;/traffic-management-profile&gt;</w:t>
      </w:r>
    </w:p>
    <w:p>
      <w:pPr>
        <w:pStyle w:val="FirstParagraph"/>
      </w:pPr>
      <w:r>
        <w:t xml:space="preserve">Note in the example YANG, the description for the</w:t>
      </w:r>
      <w:r>
        <w:t xml:space="preserve"> </w:t>
      </w:r>
      <w:r>
        <w:t xml:space="preserve">‘list’</w:t>
      </w:r>
      <w:r>
        <w:t xml:space="preserve"> </w:t>
      </w:r>
      <w:r>
        <w:t xml:space="preserve">node describes a single entry in the list,</w:t>
      </w:r>
      <w:r>
        <w:t xml:space="preserve"> </w:t>
      </w:r>
      <w:r>
        <w:t xml:space="preserve">“A traffic management profile”</w:t>
      </w:r>
      <w:r>
        <w:t xml:space="preserve">.</w:t>
      </w:r>
    </w:p>
    <w:p>
      <w:pPr>
        <w:pStyle w:val="BodyText"/>
      </w:pPr>
      <w:r>
        <w:t xml:space="preserve">The description statement for a</w:t>
      </w:r>
      <w:r>
        <w:t xml:space="preserve"> </w:t>
      </w:r>
      <w:r>
        <w:t xml:space="preserve">‘list’</w:t>
      </w:r>
      <w:r>
        <w:t xml:space="preserve"> </w:t>
      </w:r>
      <w:r>
        <w:t xml:space="preserve">or</w:t>
      </w:r>
      <w:r>
        <w:t xml:space="preserve"> </w:t>
      </w:r>
      <w:r>
        <w:t xml:space="preserve">‘leaf-list’</w:t>
      </w:r>
      <w:r>
        <w:t xml:space="preserve"> </w:t>
      </w:r>
      <w:r>
        <w:t xml:space="preserve">data node SHALL describe what an entry represents rather than describing the entire list. In other words, the description should follow the example above rather than:</w:t>
      </w:r>
    </w:p>
    <w:p>
      <w:pPr>
        <w:pStyle w:val="SourceCode"/>
      </w:pPr>
      <w:r>
        <w:rPr>
          <w:rStyle w:val="VerbatimChar"/>
        </w:rPr>
        <w:t xml:space="preserve">list traffic-management-profile {</w:t>
      </w:r>
      <w:r>
        <w:br/>
      </w:r>
      <w:r>
        <w:rPr>
          <w:rStyle w:val="VerbatimChar"/>
        </w:rPr>
        <w:t xml:space="preserve">  key name;</w:t>
      </w:r>
      <w:r>
        <w:br/>
      </w:r>
      <w:r>
        <w:rPr>
          <w:rStyle w:val="VerbatimChar"/>
        </w:rPr>
        <w:t xml:space="preserve">  description</w:t>
      </w:r>
      <w:r>
        <w:br/>
      </w:r>
      <w:r>
        <w:rPr>
          <w:rStyle w:val="VerbatimChar"/>
        </w:rPr>
        <w:t xml:space="preserve">    "A list of traffic management profiles.";</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w:t>
      </w:r>
    </w:p>
    <w:bookmarkEnd w:id="129"/>
    <w:bookmarkStart w:id="130" w:name="Xec0f6fb32d61293c49cd1103edc2f277edb476e"/>
    <w:p>
      <w:pPr>
        <w:pStyle w:val="Heading3"/>
      </w:pPr>
      <w:r>
        <w:t xml:space="preserve">BBF-28: Description on</w:t>
      </w:r>
      <w:r>
        <w:t xml:space="preserve"> </w:t>
      </w:r>
      <w:r>
        <w:t xml:space="preserve">‘when’</w:t>
      </w:r>
      <w:r>
        <w:t xml:space="preserve"> </w:t>
      </w:r>
      <w:r>
        <w:t xml:space="preserve">statements</w:t>
      </w:r>
    </w:p>
    <w:p>
      <w:pPr>
        <w:pStyle w:val="FirstParagraph"/>
      </w:pPr>
      <w:r>
        <w:t xml:space="preserve">Not everyone reading a YANG model is an expert in YANG and/or XPath. In order to provide assistence in understanding the intent, all</w:t>
      </w:r>
      <w:r>
        <w:t xml:space="preserve"> </w:t>
      </w:r>
      <w:r>
        <w:t xml:space="preserve">‘when’</w:t>
      </w:r>
      <w:r>
        <w:t xml:space="preserve"> </w:t>
      </w:r>
      <w:r>
        <w:t xml:space="preserve">statements SHALL contain a description statement. This description should convey the intent of the</w:t>
      </w:r>
      <w:r>
        <w:t xml:space="preserve"> </w:t>
      </w:r>
      <w:r>
        <w:t xml:space="preserve">‘when’</w:t>
      </w:r>
      <w:r>
        <w:t xml:space="preserve"> </w:t>
      </w:r>
      <w:r>
        <w:t xml:space="preserve">condition in easy to understand language.</w:t>
      </w:r>
    </w:p>
    <w:p>
      <w:pPr>
        <w:pStyle w:val="BodyText"/>
      </w:pPr>
      <w:r>
        <w:t xml:space="preserve">Examples:</w:t>
      </w:r>
    </w:p>
    <w:p>
      <w:pPr>
        <w:pStyle w:val="SourceCode"/>
      </w:pPr>
      <w:r>
        <w:rPr>
          <w:rStyle w:val="VerbatimChar"/>
        </w:rPr>
        <w:t xml:space="preserve">when "derived-from-or-self(hw:class,'bbf-hwt:transceiver-link') {</w:t>
      </w:r>
      <w:r>
        <w:br/>
      </w:r>
      <w:r>
        <w:rPr>
          <w:rStyle w:val="VerbatimChar"/>
        </w:rPr>
        <w:t xml:space="preserve">  description</w:t>
      </w:r>
      <w:r>
        <w:br/>
      </w:r>
      <w:r>
        <w:rPr>
          <w:rStyle w:val="VerbatimChar"/>
        </w:rPr>
        <w:t xml:space="preserve">    "Applicable when the class of hardware component is either a</w:t>
      </w:r>
      <w:r>
        <w:br/>
      </w:r>
      <w:r>
        <w:rPr>
          <w:rStyle w:val="VerbatimChar"/>
        </w:rPr>
        <w:t xml:space="preserve">     transceiver link or another class derived from a transceiver</w:t>
      </w:r>
      <w:r>
        <w:br/>
      </w:r>
      <w:r>
        <w:rPr>
          <w:rStyle w:val="VerbatimChar"/>
        </w:rPr>
        <w:t xml:space="preserve">     link.";</w:t>
      </w:r>
      <w:r>
        <w:br/>
      </w:r>
      <w:r>
        <w:rPr>
          <w:rStyle w:val="VerbatimChar"/>
        </w:rPr>
        <w:t xml:space="preserve">}</w:t>
      </w:r>
    </w:p>
    <w:p>
      <w:pPr>
        <w:pStyle w:val="SourceCode"/>
      </w:pPr>
      <w:r>
        <w:rPr>
          <w:rStyle w:val="VerbatimChar"/>
        </w:rPr>
        <w:t xml:space="preserve">when "not(boolean(../enable))"</w:t>
      </w:r>
      <w:r>
        <w:br/>
      </w:r>
      <w:r>
        <w:rPr>
          <w:rStyle w:val="VerbatimChar"/>
        </w:rPr>
        <w:t xml:space="preserve">   + " or "</w:t>
      </w:r>
      <w:r>
        <w:br/>
      </w:r>
      <w:r>
        <w:rPr>
          <w:rStyle w:val="VerbatimChar"/>
        </w:rPr>
        <w:t xml:space="preserve">   + "(../enable='true')" {</w:t>
      </w:r>
      <w:r>
        <w:br/>
      </w:r>
      <w:r>
        <w:rPr>
          <w:rStyle w:val="VerbatimChar"/>
        </w:rPr>
        <w:t xml:space="preserve">  description</w:t>
      </w:r>
      <w:r>
        <w:br/>
      </w:r>
      <w:r>
        <w:rPr>
          <w:rStyle w:val="VerbatimChar"/>
        </w:rPr>
        <w:t xml:space="preserve">    "If the administrative state of a session is</w:t>
      </w:r>
      <w:r>
        <w:br/>
      </w:r>
      <w:r>
        <w:rPr>
          <w:rStyle w:val="VerbatimChar"/>
        </w:rPr>
        <w:t xml:space="preserve">     supported, the session must be currently</w:t>
      </w:r>
      <w:r>
        <w:br/>
      </w:r>
      <w:r>
        <w:rPr>
          <w:rStyle w:val="VerbatimChar"/>
        </w:rPr>
        <w:t xml:space="preserve">     administratively enabled to reset the session.";</w:t>
      </w:r>
      <w:r>
        <w:br/>
      </w:r>
      <w:r>
        <w:rPr>
          <w:rStyle w:val="VerbatimChar"/>
        </w:rPr>
        <w:t xml:space="preserve">}</w:t>
      </w:r>
    </w:p>
    <w:bookmarkEnd w:id="130"/>
    <w:bookmarkStart w:id="131" w:name="sec:bbf-29-use-of-english-contractions"/>
    <w:p>
      <w:pPr>
        <w:pStyle w:val="Heading3"/>
      </w:pPr>
      <w:r>
        <w:t xml:space="preserve">BBF-29: Use of English Contractions</w:t>
      </w:r>
    </w:p>
    <w:p>
      <w:pPr>
        <w:pStyle w:val="FirstParagraph"/>
      </w:pPr>
      <w:r>
        <w:t xml:space="preserve">Descriptions in YANG modules are considered to be formal documentation. Therefore, English contractions, e.g., can’t, isn’t, etc., SHALL NOT be used in description statements.</w:t>
      </w:r>
    </w:p>
    <w:bookmarkEnd w:id="131"/>
    <w:bookmarkEnd w:id="132"/>
    <w:bookmarkStart w:id="140" w:name="sec:bbf-deviation-guidelines"/>
    <w:p>
      <w:pPr>
        <w:pStyle w:val="Heading2"/>
      </w:pPr>
      <w:r>
        <w:t xml:space="preserve">BBF Deviation Guidelines</w:t>
      </w:r>
    </w:p>
    <w:p>
      <w:pPr>
        <w:pStyle w:val="FirstParagraph"/>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Start w:id="133" w:name="sec:types-of-deviations"/>
    <w:p>
      <w:pPr>
        <w:pStyle w:val="Heading3"/>
      </w:pPr>
      <w:r>
        <w:t xml:space="preserve">Types of Deviations</w:t>
      </w:r>
    </w:p>
    <w:p>
      <w:pPr>
        <w:pStyle w:val="FirstParagraph"/>
      </w:pPr>
      <w:r>
        <w:t xml:space="preserve">The YANG</w:t>
      </w:r>
      <w:r>
        <w:t xml:space="preserve"> </w:t>
      </w:r>
      <w:r>
        <w:rPr>
          <w:i/>
          <w:iCs/>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pStyle w:val="Compact"/>
        <w:numPr>
          <w:ilvl w:val="0"/>
          <w:numId w:val="1030"/>
        </w:numPr>
      </w:pPr>
      <w:r>
        <w:t xml:space="preserve">not-supported</w:t>
      </w:r>
    </w:p>
    <w:p>
      <w:pPr>
        <w:pStyle w:val="Compact"/>
        <w:numPr>
          <w:ilvl w:val="1"/>
          <w:numId w:val="1031"/>
        </w:numPr>
      </w:pPr>
      <w:r>
        <w:t xml:space="preserve">Indicates the target node is not implemented by the server.</w:t>
      </w:r>
    </w:p>
    <w:p>
      <w:pPr>
        <w:pStyle w:val="Compact"/>
        <w:numPr>
          <w:ilvl w:val="0"/>
          <w:numId w:val="1030"/>
        </w:numPr>
      </w:pPr>
      <w:r>
        <w:t xml:space="preserve">add</w:t>
      </w:r>
    </w:p>
    <w:p>
      <w:pPr>
        <w:pStyle w:val="Compact"/>
        <w:numPr>
          <w:ilvl w:val="1"/>
          <w:numId w:val="1032"/>
        </w:numPr>
      </w:pPr>
      <w:r>
        <w:t xml:space="preserve">Adds properties to the target node so long as they do not already exist.</w:t>
      </w:r>
    </w:p>
    <w:p>
      <w:pPr>
        <w:pStyle w:val="Compact"/>
        <w:numPr>
          <w:ilvl w:val="0"/>
          <w:numId w:val="1030"/>
        </w:numPr>
      </w:pPr>
      <w:r>
        <w:t xml:space="preserve">replace</w:t>
      </w:r>
    </w:p>
    <w:p>
      <w:pPr>
        <w:pStyle w:val="Compact"/>
        <w:numPr>
          <w:ilvl w:val="1"/>
          <w:numId w:val="1033"/>
        </w:numPr>
      </w:pPr>
      <w:r>
        <w:t xml:space="preserve">Replaces properties of the target node so long as they already exist.</w:t>
      </w:r>
    </w:p>
    <w:p>
      <w:pPr>
        <w:pStyle w:val="Compact"/>
        <w:numPr>
          <w:ilvl w:val="0"/>
          <w:numId w:val="1030"/>
        </w:numPr>
      </w:pPr>
      <w:r>
        <w:t xml:space="preserve">delete</w:t>
      </w:r>
    </w:p>
    <w:p>
      <w:pPr>
        <w:pStyle w:val="Compact"/>
        <w:numPr>
          <w:ilvl w:val="1"/>
          <w:numId w:val="1034"/>
        </w:numPr>
      </w:pPr>
      <w:r>
        <w:t xml:space="preserve">Deletes existing properties of the target node.</w:t>
      </w:r>
    </w:p>
    <w:bookmarkEnd w:id="133"/>
    <w:bookmarkStart w:id="134" w:name="sec:dev-1-not-supported"/>
    <w:p>
      <w:pPr>
        <w:pStyle w:val="Heading3"/>
      </w:pPr>
      <w:r>
        <w:t xml:space="preserve">DEV-1: not-supported</w:t>
      </w:r>
    </w:p>
    <w:p>
      <w:pPr>
        <w:pStyle w:val="FirstParagraph"/>
      </w:pPr>
      <w:r>
        <w:t xml:space="preserve">The deviate</w:t>
      </w:r>
      <w:r>
        <w:t xml:space="preserve"> </w:t>
      </w:r>
      <w:r>
        <w:rPr>
          <w:i/>
          <w:iCs/>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34"/>
    <w:bookmarkStart w:id="135" w:name="sec:dev-2-add---number-of-elements"/>
    <w:p>
      <w:pPr>
        <w:pStyle w:val="Heading3"/>
      </w:pPr>
      <w:r>
        <w:t xml:space="preserve">DEV-2: add - Number of Elements</w:t>
      </w:r>
    </w:p>
    <w:p>
      <w:pPr>
        <w:pStyle w:val="FirstParagraph"/>
      </w:pPr>
      <w:r>
        <w:t xml:space="preserve">The deviate</w:t>
      </w:r>
      <w:r>
        <w:t xml:space="preserve"> </w:t>
      </w:r>
      <w:r>
        <w:rPr>
          <w:i/>
          <w:iCs/>
        </w:rPr>
        <w:t xml:space="preserve">add</w:t>
      </w:r>
      <w:r>
        <w:t xml:space="preserve"> </w:t>
      </w:r>
      <w:r>
        <w:t xml:space="preserve">argument MAY be used to add a restriction on the number of elements in a</w:t>
      </w:r>
      <w:r>
        <w:t xml:space="preserve"> </w:t>
      </w:r>
      <w:r>
        <w:rPr>
          <w:i/>
          <w:iCs/>
        </w:rPr>
        <w:t xml:space="preserve">leaf-list</w:t>
      </w:r>
      <w:r>
        <w:t xml:space="preserve"> </w:t>
      </w:r>
      <w:r>
        <w:t xml:space="preserve">or</w:t>
      </w:r>
      <w:r>
        <w:t xml:space="preserve"> </w:t>
      </w:r>
      <w:r>
        <w:rPr>
          <w:i/>
          <w:iCs/>
        </w:rPr>
        <w:t xml:space="preserve">list</w:t>
      </w:r>
      <w:r>
        <w:t xml:space="preserve">.</w:t>
      </w:r>
    </w:p>
    <w:p>
      <w:pPr>
        <w:pStyle w:val="BodyText"/>
      </w:pPr>
      <w:r>
        <w:t xml:space="preserve">Adding a restriction on the number of elements is accomplished by adding a</w:t>
      </w:r>
      <w:r>
        <w:t xml:space="preserve"> </w:t>
      </w:r>
      <w:r>
        <w:rPr>
          <w:i/>
          <w:iCs/>
        </w:rPr>
        <w:t xml:space="preserve">min-elements</w:t>
      </w:r>
      <w:r>
        <w:t xml:space="preserve"> </w:t>
      </w:r>
      <w:r>
        <w:t xml:space="preserve">and/or</w:t>
      </w:r>
      <w:r>
        <w:t xml:space="preserve"> </w:t>
      </w:r>
      <w:r>
        <w:rPr>
          <w:i/>
          <w:iCs/>
        </w:rPr>
        <w:t xml:space="preserve">max-elements</w:t>
      </w:r>
      <w:r>
        <w:t xml:space="preserve"> </w:t>
      </w:r>
      <w:r>
        <w:t xml:space="preserve">statement where they were not previously defined. For example, you have a</w:t>
      </w:r>
      <w:r>
        <w:t xml:space="preserve"> </w:t>
      </w:r>
      <w:r>
        <w:rPr>
          <w:i/>
          <w:iCs/>
        </w:rPr>
        <w:t xml:space="preserve">leaf-list</w:t>
      </w:r>
      <w:r>
        <w:t xml:space="preserve"> </w:t>
      </w:r>
      <w:r>
        <w:t xml:space="preserve">which does not contain either a</w:t>
      </w:r>
      <w:r>
        <w:t xml:space="preserve"> </w:t>
      </w:r>
      <w:r>
        <w:rPr>
          <w:i/>
          <w:iCs/>
        </w:rPr>
        <w:t xml:space="preserve">min-elements</w:t>
      </w:r>
      <w:r>
        <w:t xml:space="preserve"> </w:t>
      </w:r>
      <w:r>
        <w:t xml:space="preserve">or</w:t>
      </w:r>
      <w:r>
        <w:t xml:space="preserve"> </w:t>
      </w:r>
      <w:r>
        <w:rPr>
          <w:i/>
          <w:iCs/>
        </w:rPr>
        <w:t xml:space="preserve">max-elements</w:t>
      </w:r>
      <w:r>
        <w:t xml:space="preserve"> </w:t>
      </w:r>
      <w:r>
        <w:t xml:space="preserve">statement and thus does not impose any limit on the number of elements contained in the</w:t>
      </w:r>
      <w:r>
        <w:t xml:space="preserve"> </w:t>
      </w:r>
      <w:r>
        <w:rPr>
          <w:i/>
          <w:iCs/>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
          <w:iCs/>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35"/>
    <w:bookmarkStart w:id="136" w:name="sec:dev-3-add---must-constraints"/>
    <w:p>
      <w:pPr>
        <w:pStyle w:val="Heading3"/>
      </w:pPr>
      <w:r>
        <w:t xml:space="preserve">DEV-3: add -</w:t>
      </w:r>
      <w:r>
        <w:t xml:space="preserve"> </w:t>
      </w:r>
      <w:r>
        <w:t xml:space="preserve">‘must’</w:t>
      </w:r>
      <w:r>
        <w:t xml:space="preserve"> </w:t>
      </w:r>
      <w:r>
        <w:t xml:space="preserve">Constraints</w:t>
      </w:r>
    </w:p>
    <w:p>
      <w:pPr>
        <w:pStyle w:val="FirstParagraph"/>
      </w:pPr>
      <w:r>
        <w:t xml:space="preserve">The deviate</w:t>
      </w:r>
      <w:r>
        <w:t xml:space="preserve"> </w:t>
      </w:r>
      <w:r>
        <w:rPr>
          <w:i/>
          <w:iCs/>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
          <w:iCs/>
        </w:rPr>
        <w:t xml:space="preserve">ietf-interfaces</w:t>
      </w:r>
      <w:r>
        <w:rPr>
          <w:i/>
          <w:iCs/>
        </w:rPr>
        <w:t xml:space="preserve"> </w:t>
      </w:r>
      <w:hyperlink w:anchor="ref-RFC7223">
        <w:r>
          <w:rPr>
            <w:rStyle w:val="Hyperlink"/>
            <w:i/>
            <w:iCs/>
          </w:rPr>
          <w:t xml:space="preserve">[2]</w:t>
        </w:r>
      </w:hyperlink>
      <w:r>
        <w:t xml:space="preserve"> </w:t>
      </w:r>
      <w:r>
        <w:t xml:space="preserve">to explicitly enforce how many interfaces are present.</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always 8 G.fast interfaces present.";</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36"/>
    <w:bookmarkStart w:id="137" w:name="sec:dev-4-replace---data-type"/>
    <w:p>
      <w:pPr>
        <w:pStyle w:val="Heading3"/>
      </w:pPr>
      <w:r>
        <w:t xml:space="preserve">DEV-4: replace - Data Type</w:t>
      </w:r>
    </w:p>
    <w:p>
      <w:pPr>
        <w:pStyle w:val="FirstParagraph"/>
      </w:pPr>
      <w:r>
        <w:t xml:space="preserve">The deviate</w:t>
      </w:r>
      <w:r>
        <w:t xml:space="preserve"> </w:t>
      </w:r>
      <w:r>
        <w:rPr>
          <w:i/>
          <w:iCs/>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37"/>
    <w:bookmarkStart w:id="138" w:name="sec:dev-5-replace---number-of-elements"/>
    <w:p>
      <w:pPr>
        <w:pStyle w:val="Heading3"/>
      </w:pPr>
      <w:r>
        <w:t xml:space="preserve">DEV-5: replace - Number of Elements</w:t>
      </w:r>
    </w:p>
    <w:p>
      <w:pPr>
        <w:pStyle w:val="FirstParagraph"/>
      </w:pPr>
      <w:r>
        <w:t xml:space="preserve">The deviate</w:t>
      </w:r>
      <w:r>
        <w:t xml:space="preserve"> </w:t>
      </w:r>
      <w:r>
        <w:rPr>
          <w:i/>
          <w:iCs/>
        </w:rPr>
        <w:t xml:space="preserve">replace</w:t>
      </w:r>
      <w:r>
        <w:t xml:space="preserve"> </w:t>
      </w:r>
      <w:r>
        <w:t xml:space="preserve">argument MAY be used to further restrict the number of elements in a</w:t>
      </w:r>
      <w:r>
        <w:t xml:space="preserve"> </w:t>
      </w:r>
      <w:r>
        <w:rPr>
          <w:i/>
          <w:iCs/>
        </w:rPr>
        <w:t xml:space="preserve">list</w:t>
      </w:r>
      <w:r>
        <w:t xml:space="preserve"> </w:t>
      </w:r>
      <w:r>
        <w:t xml:space="preserve">or</w:t>
      </w:r>
      <w:r>
        <w:t xml:space="preserve"> </w:t>
      </w:r>
      <w:r>
        <w:rPr>
          <w:i/>
          <w:iCs/>
        </w:rPr>
        <w:t xml:space="preserve">leaf-list</w:t>
      </w:r>
      <w:r>
        <w:t xml:space="preserve">.</w:t>
      </w:r>
    </w:p>
    <w:p>
      <w:pPr>
        <w:pStyle w:val="BodyText"/>
      </w:pPr>
      <w:r>
        <w:t xml:space="preserve">For</w:t>
      </w:r>
      <w:r>
        <w:t xml:space="preserve"> </w:t>
      </w:r>
      <w:r>
        <w:rPr>
          <w:i/>
          <w:iCs/>
        </w:rPr>
        <w:t xml:space="preserve">min-elements</w:t>
      </w:r>
      <w:r>
        <w:t xml:space="preserve">, the new value must be greater than or equal to the original. For</w:t>
      </w:r>
      <w:r>
        <w:t xml:space="preserve"> </w:t>
      </w:r>
      <w:r>
        <w:rPr>
          <w:i/>
          <w:iCs/>
        </w:rPr>
        <w:t xml:space="preserve">max-elements</w:t>
      </w:r>
      <w:r>
        <w:t xml:space="preserve">, the new value must be less than or equal to the original. Suppose we have the following definition of a</w:t>
      </w:r>
      <w:r>
        <w:t xml:space="preserve"> </w:t>
      </w:r>
      <w:r>
        <w:rPr>
          <w:i/>
          <w:iCs/>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38"/>
    <w:bookmarkStart w:id="139" w:name="sec:dev-6-delete"/>
    <w:p>
      <w:pPr>
        <w:pStyle w:val="Heading3"/>
      </w:pPr>
      <w:r>
        <w:t xml:space="preserve">DEV-6: delete</w:t>
      </w:r>
    </w:p>
    <w:p>
      <w:pPr>
        <w:pStyle w:val="FirstParagraph"/>
      </w:pPr>
      <w:r>
        <w:t xml:space="preserve">The deviate</w:t>
      </w:r>
      <w:r>
        <w:t xml:space="preserve"> </w:t>
      </w:r>
      <w:r>
        <w:rPr>
          <w:i/>
          <w:iCs/>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39"/>
    <w:bookmarkEnd w:id="140"/>
    <w:bookmarkStart w:id="152" w:name="sec:bbf-guidelines-for-units-statements"/>
    <w:p>
      <w:pPr>
        <w:pStyle w:val="Heading2"/>
      </w:pPr>
      <w:r>
        <w:t xml:space="preserve">BBF Guidelines for</w:t>
      </w:r>
      <w:r>
        <w:t xml:space="preserve"> </w:t>
      </w:r>
      <w:r>
        <w:t xml:space="preserve">‘units’</w:t>
      </w:r>
      <w:r>
        <w:t xml:space="preserve"> </w:t>
      </w:r>
      <w:r>
        <w:t xml:space="preserve">Statements</w:t>
      </w:r>
    </w:p>
    <w:p>
      <w:pPr>
        <w:pStyle w:val="FirstParagraph"/>
      </w:pPr>
      <w:r>
        <w:t xml:space="preserve">The following guidelines apply to the specification of</w:t>
      </w:r>
      <w:r>
        <w:t xml:space="preserve"> </w:t>
      </w:r>
      <w:r>
        <w:t xml:space="preserve">‘units’</w:t>
      </w:r>
      <w:r>
        <w:t xml:space="preserve"> </w:t>
      </w:r>
      <w:r>
        <w:t xml:space="preserve">statements within Broadband Forum</w:t>
      </w:r>
      <w:r>
        <w:t xml:space="preserve"> </w:t>
      </w:r>
      <w:r>
        <w:t xml:space="preserve">YANG modules. These guidelines are based on the following reference documentation as well as</w:t>
      </w:r>
      <w:r>
        <w:t xml:space="preserve"> </w:t>
      </w:r>
      <w:r>
        <w:t xml:space="preserve">practical usage within Broadband Forum YANG modules:</w:t>
      </w:r>
    </w:p>
    <w:p>
      <w:pPr>
        <w:pStyle w:val="Compact"/>
        <w:numPr>
          <w:ilvl w:val="0"/>
          <w:numId w:val="1035"/>
        </w:numPr>
      </w:pPr>
      <w:r>
        <w:t xml:space="preserve">IEEE Std. 260.1</w:t>
      </w:r>
    </w:p>
    <w:p>
      <w:pPr>
        <w:pStyle w:val="Compact"/>
        <w:numPr>
          <w:ilvl w:val="0"/>
          <w:numId w:val="1035"/>
        </w:numPr>
      </w:pPr>
      <w:hyperlink r:id="rId141">
        <w:r>
          <w:rPr>
            <w:rStyle w:val="Hyperlink"/>
          </w:rPr>
          <w:t xml:space="preserve">NIST Special Publication 811</w:t>
        </w:r>
      </w:hyperlink>
    </w:p>
    <w:bookmarkStart w:id="142" w:name="sec:terminology-1"/>
    <w:p>
      <w:pPr>
        <w:pStyle w:val="Heading3"/>
      </w:pPr>
      <w:r>
        <w:t xml:space="preserve">Terminology</w:t>
      </w:r>
    </w:p>
    <w:p>
      <w:pPr>
        <w:pStyle w:val="FirstParagraph"/>
      </w:pPr>
      <w:r>
        <w:t xml:space="preserve">The following terminology is used throughout these guidelines.</w:t>
      </w:r>
    </w:p>
    <w:tbl>
      <w:tblPr>
        <w:tblStyle w:val="Table"/>
        <w:tblW w:type="pct" w:w="5000"/>
        <w:tblLayout w:type="fixed"/>
        <w:tblLook w:firstRow="1" w:lastRow="0" w:firstColumn="0" w:lastColumn="0" w:noHBand="0" w:noVBand="0" w:val="0020"/>
      </w:tblPr>
      <w:tblGrid>
        <w:gridCol w:w="3017"/>
        <w:gridCol w:w="4902"/>
      </w:tblGrid>
      <w:tr>
        <w:trPr>
          <w:tblHeader w:val="on"/>
        </w:trPr>
        <w:tc>
          <w:tcPr/>
          <w:p>
            <w:pPr>
              <w:pStyle w:val="Compact"/>
            </w:pPr>
            <w:r>
              <w:t xml:space="preserve">Term</w:t>
            </w:r>
          </w:p>
        </w:tc>
        <w:tc>
          <w:tcPr/>
          <w:p>
            <w:pPr>
              <w:pStyle w:val="Compact"/>
            </w:pPr>
            <w:r>
              <w:t xml:space="preserve">Description</w:t>
            </w:r>
          </w:p>
        </w:tc>
      </w:tr>
      <w:tr>
        <w:tc>
          <w:tcPr/>
          <w:p>
            <w:pPr>
              <w:pStyle w:val="Compact"/>
            </w:pPr>
            <w:r>
              <w:t xml:space="preserve">family</w:t>
            </w:r>
          </w:p>
        </w:tc>
        <w:tc>
          <w:tcPr/>
          <w:p>
            <w:pPr>
              <w:pStyle w:val="Compact"/>
            </w:pPr>
            <w:r>
              <w:t xml:space="preserve">refers to a group of</w:t>
            </w:r>
            <w:r>
              <w:t xml:space="preserve"> </w:t>
            </w:r>
            <w:r>
              <w:t xml:space="preserve">‘units’</w:t>
            </w:r>
            <w:r>
              <w:t xml:space="preserve"> </w:t>
            </w:r>
            <w:r>
              <w:t xml:space="preserve">statements representing a common functional area including, but not limited to, time, length, temperature, electricity, speed and memory storage</w:t>
            </w:r>
          </w:p>
        </w:tc>
      </w:tr>
      <w:tr>
        <w:tc>
          <w:tcPr/>
          <w:p>
            <w:pPr>
              <w:pStyle w:val="Compact"/>
            </w:pPr>
            <w:r>
              <w:t xml:space="preserve">unit</w:t>
            </w:r>
          </w:p>
        </w:tc>
        <w:tc>
          <w:tcPr/>
          <w:p>
            <w:pPr>
              <w:pStyle w:val="Compact"/>
            </w:pPr>
            <w:r>
              <w:t xml:space="preserve">the full text name of a unit, e.g., seconds, milliwatts</w:t>
            </w:r>
          </w:p>
        </w:tc>
      </w:tr>
      <w:tr>
        <w:tc>
          <w:tcPr/>
          <w:p>
            <w:pPr>
              <w:pStyle w:val="Compact"/>
            </w:pPr>
            <w:r>
              <w:t xml:space="preserve">symbol</w:t>
            </w:r>
          </w:p>
        </w:tc>
        <w:tc>
          <w:tcPr/>
          <w:p>
            <w:pPr>
              <w:pStyle w:val="Compact"/>
            </w:pPr>
            <w:r>
              <w:t xml:space="preserve">the abbreviated form of expressing the units, e.g., mW, dBm</w:t>
            </w:r>
          </w:p>
        </w:tc>
      </w:tr>
    </w:tbl>
    <w:bookmarkEnd w:id="142"/>
    <w:bookmarkStart w:id="143" w:name="sec:units-1-unit-vs-symbol"/>
    <w:p>
      <w:pPr>
        <w:pStyle w:val="Heading3"/>
      </w:pPr>
      <w:r>
        <w:t xml:space="preserve">UNITS-1: Unit vs Symbol</w:t>
      </w:r>
    </w:p>
    <w:p>
      <w:pPr>
        <w:pStyle w:val="FirstParagraph"/>
      </w:pPr>
      <w:r>
        <w:t xml:space="preserve">All</w:t>
      </w:r>
      <w:r>
        <w:t xml:space="preserve"> </w:t>
      </w:r>
      <w:r>
        <w:t xml:space="preserve">‘units’</w:t>
      </w:r>
      <w:r>
        <w:t xml:space="preserve"> </w:t>
      </w:r>
      <w:r>
        <w:t xml:space="preserve">statements SHALL use either the</w:t>
      </w:r>
      <w:r>
        <w:t xml:space="preserve"> </w:t>
      </w:r>
      <w:r>
        <w:t xml:space="preserve">“unit”</w:t>
      </w:r>
      <w:r>
        <w:t xml:space="preserve"> </w:t>
      </w:r>
      <w:r>
        <w:t xml:space="preserve">or the</w:t>
      </w:r>
      <w:r>
        <w:t xml:space="preserve"> </w:t>
      </w:r>
      <w:r>
        <w:t xml:space="preserve">“symbol”</w:t>
      </w:r>
      <w:r>
        <w:t xml:space="preserve"> </w:t>
      </w:r>
      <w:r>
        <w:t xml:space="preserve">as defined in IEEE Std. 260.1 including the proper use of uppercase and lowercase. The chosen method used should be applied consistently within a family of units. In general, the</w:t>
      </w:r>
      <w:r>
        <w:t xml:space="preserve"> </w:t>
      </w:r>
      <w:r>
        <w:t xml:space="preserve">“unit”</w:t>
      </w:r>
      <w:r>
        <w:t xml:space="preserve"> </w:t>
      </w:r>
      <w:r>
        <w:t xml:space="preserve">should be used with the</w:t>
      </w:r>
      <w:r>
        <w:t xml:space="preserve"> </w:t>
      </w:r>
      <w:r>
        <w:t xml:space="preserve">“symbol”</w:t>
      </w:r>
      <w:r>
        <w:t xml:space="preserve"> </w:t>
      </w:r>
      <w:r>
        <w:t xml:space="preserve">being used on a case-by-case basis. For example, use</w:t>
      </w:r>
      <w:r>
        <w:t xml:space="preserve"> </w:t>
      </w:r>
      <w:r>
        <w:t xml:space="preserve">“seconds”</w:t>
      </w:r>
      <w:r>
        <w:t xml:space="preserve"> </w:t>
      </w:r>
      <w:r>
        <w:t xml:space="preserve">or some derivation (see UNITS-3) for time but</w:t>
      </w:r>
      <w:r>
        <w:t xml:space="preserve"> </w:t>
      </w:r>
      <w:r>
        <w:t xml:space="preserve">“dBm”</w:t>
      </w:r>
      <w:r>
        <w:t xml:space="preserve"> </w:t>
      </w:r>
      <w:r>
        <w:t xml:space="preserve">for power level as the term</w:t>
      </w:r>
      <w:r>
        <w:t xml:space="preserve"> </w:t>
      </w:r>
      <w:r>
        <w:t xml:space="preserve">“decibel-milliwatts”</w:t>
      </w:r>
      <w:r>
        <w:t xml:space="preserve"> </w:t>
      </w:r>
      <w:r>
        <w:t xml:space="preserve">is not commonly used.</w:t>
      </w:r>
    </w:p>
    <w:bookmarkEnd w:id="143"/>
    <w:bookmarkStart w:id="144" w:name="sec:units-2-plural-form"/>
    <w:p>
      <w:pPr>
        <w:pStyle w:val="Heading3"/>
      </w:pPr>
      <w:r>
        <w:t xml:space="preserve">UNITS-2: Plural Form</w:t>
      </w:r>
    </w:p>
    <w:p>
      <w:pPr>
        <w:pStyle w:val="FirstParagraph"/>
      </w:pPr>
      <w:r>
        <w:t xml:space="preserve">Where applicable, the full</w:t>
      </w:r>
      <w:r>
        <w:t xml:space="preserve"> </w:t>
      </w:r>
      <w:r>
        <w:t xml:space="preserve">“unit”</w:t>
      </w:r>
      <w:r>
        <w:t xml:space="preserve"> </w:t>
      </w:r>
      <w:r>
        <w:t xml:space="preserve">text SHALL be written in plural form, e.g., seconds vs. second. This differs from the definitions in IEEE Std. 260.1 but aligns with NIST 811 as well as the current practice in industry standard YANG data models.</w:t>
      </w:r>
    </w:p>
    <w:bookmarkEnd w:id="144"/>
    <w:bookmarkStart w:id="145" w:name="sec:units-3-base-vs-derived"/>
    <w:p>
      <w:pPr>
        <w:pStyle w:val="Heading3"/>
      </w:pPr>
      <w:r>
        <w:t xml:space="preserve">UNITS-3: Base vs Derived</w:t>
      </w:r>
    </w:p>
    <w:p>
      <w:pPr>
        <w:pStyle w:val="FirstParagraph"/>
      </w:pPr>
      <w:r>
        <w:t xml:space="preserve">The base unit for a given family may not always be the one that provides the best granularity. For example, it would not be common to express 20 nanoseconds as 0.00000002 seconds as doing so would make readability difficult. In those situations, a</w:t>
      </w:r>
      <w:r>
        <w:t xml:space="preserve"> </w:t>
      </w:r>
      <w:r>
        <w:t xml:space="preserve">“unit”</w:t>
      </w:r>
      <w:r>
        <w:t xml:space="preserve"> </w:t>
      </w:r>
      <w:r>
        <w:t xml:space="preserve">derived from the base SHOULD be used where the derived unit is a multiple of 10</w:t>
      </w:r>
      <w:r>
        <w:rPr>
          <w:vertAlign w:val="superscript"/>
        </w:rPr>
        <w:t xml:space="preserve">3</w:t>
      </w:r>
      <w:r>
        <w:t xml:space="preserve"> </w:t>
      </w:r>
      <w:r>
        <w:t xml:space="preserve">from the base, e.g., seconds, milliseconds, nanoseconds.</w:t>
      </w:r>
    </w:p>
    <w:bookmarkEnd w:id="145"/>
    <w:bookmarkStart w:id="146" w:name="sec:units-4-memory"/>
    <w:p>
      <w:pPr>
        <w:pStyle w:val="Heading3"/>
      </w:pPr>
      <w:r>
        <w:t xml:space="preserve">UNITS-4: Memory</w:t>
      </w:r>
    </w:p>
    <w:p>
      <w:pPr>
        <w:pStyle w:val="FirstParagraph"/>
      </w:pPr>
      <w:r>
        <w:t xml:space="preserve">For</w:t>
      </w:r>
      <w:r>
        <w:t xml:space="preserve"> </w:t>
      </w:r>
      <w:r>
        <w:t xml:space="preserve">‘units’</w:t>
      </w:r>
      <w:r>
        <w:t xml:space="preserve"> </w:t>
      </w:r>
      <w:r>
        <w:t xml:space="preserve">statements related to memory that need derived units for reasons similar to the usage described in UNITS-3, the derived unit SHALL be a multiple of 2</w:t>
      </w:r>
      <w:r>
        <w:rPr>
          <w:vertAlign w:val="superscript"/>
        </w:rPr>
        <w:t xml:space="preserve">10</w:t>
      </w:r>
      <w:r>
        <w:t xml:space="preserve">, e.g., bytes, kibibytes, mebibytes.</w:t>
      </w:r>
    </w:p>
    <w:bookmarkEnd w:id="146"/>
    <w:bookmarkStart w:id="147" w:name="sec:units-5-unit-combinations"/>
    <w:p>
      <w:pPr>
        <w:pStyle w:val="Heading3"/>
      </w:pPr>
      <w:r>
        <w:t xml:space="preserve">UNITS-5: Unit Combinations</w:t>
      </w:r>
    </w:p>
    <w:p>
      <w:pPr>
        <w:pStyle w:val="FirstParagraph"/>
      </w:pPr>
      <w:r>
        <w:t xml:space="preserve">‘units’</w:t>
      </w:r>
      <w:r>
        <w:t xml:space="preserve"> </w:t>
      </w:r>
      <w:r>
        <w:t xml:space="preserve">statements requiring a combination of units SHALL fully spell out the relationship between the units, e.g.,</w:t>
      </w:r>
      <w:r>
        <w:t xml:space="preserve"> </w:t>
      </w:r>
      <w:r>
        <w:t xml:space="preserve">“bits per second”</w:t>
      </w:r>
      <w:r>
        <w:t xml:space="preserve"> </w:t>
      </w:r>
      <w:r>
        <w:t xml:space="preserve">rather than</w:t>
      </w:r>
      <w:r>
        <w:t xml:space="preserve"> </w:t>
      </w:r>
      <w:r>
        <w:t xml:space="preserve">“bits/second”</w:t>
      </w:r>
      <w:r>
        <w:t xml:space="preserve">. Regarding the applicability of UNITS-2, only the first</w:t>
      </w:r>
      <w:r>
        <w:t xml:space="preserve"> </w:t>
      </w:r>
      <w:r>
        <w:t xml:space="preserve">“unit”</w:t>
      </w:r>
      <w:r>
        <w:t xml:space="preserve"> </w:t>
      </w:r>
      <w:r>
        <w:t xml:space="preserve">will be plural in a combination, e.g.,</w:t>
      </w:r>
      <w:r>
        <w:t xml:space="preserve"> </w:t>
      </w:r>
      <w:r>
        <w:t xml:space="preserve">“bits”</w:t>
      </w:r>
      <w:r>
        <w:t xml:space="preserve"> </w:t>
      </w:r>
      <w:r>
        <w:t xml:space="preserve">in</w:t>
      </w:r>
      <w:r>
        <w:t xml:space="preserve"> </w:t>
      </w:r>
      <w:r>
        <w:t xml:space="preserve">“bits per second”</w:t>
      </w:r>
      <w:r>
        <w:t xml:space="preserve">.</w:t>
      </w:r>
    </w:p>
    <w:bookmarkEnd w:id="147"/>
    <w:bookmarkStart w:id="148" w:name="sec:units-6-equivalent-units"/>
    <w:p>
      <w:pPr>
        <w:pStyle w:val="Heading3"/>
      </w:pPr>
      <w:r>
        <w:t xml:space="preserve">UNITS-6: Equivalent Units</w:t>
      </w:r>
    </w:p>
    <w:p>
      <w:pPr>
        <w:pStyle w:val="FirstParagraph"/>
      </w:pPr>
      <w:r>
        <w:t xml:space="preserve">If more than one</w:t>
      </w:r>
      <w:r>
        <w:t xml:space="preserve"> </w:t>
      </w:r>
      <w:r>
        <w:t xml:space="preserve">“unit”</w:t>
      </w:r>
      <w:r>
        <w:t xml:space="preserve"> </w:t>
      </w:r>
      <w:r>
        <w:t xml:space="preserve">definition is applicable for a given type of data, then one should be chosen and applied in a consistent manner. For example, use</w:t>
      </w:r>
      <w:r>
        <w:t xml:space="preserve"> </w:t>
      </w:r>
      <w:r>
        <w:t xml:space="preserve">“bytes”</w:t>
      </w:r>
      <w:r>
        <w:t xml:space="preserve"> </w:t>
      </w:r>
      <w:r>
        <w:t xml:space="preserve">instead of</w:t>
      </w:r>
      <w:r>
        <w:t xml:space="preserve"> </w:t>
      </w:r>
      <w:r>
        <w:t xml:space="preserve">“octets”</w:t>
      </w:r>
      <w:r>
        <w:t xml:space="preserve">.</w:t>
      </w:r>
    </w:p>
    <w:bookmarkEnd w:id="148"/>
    <w:bookmarkStart w:id="149" w:name="sec:units-7-use-of-decimal64"/>
    <w:p>
      <w:pPr>
        <w:pStyle w:val="Heading3"/>
      </w:pPr>
      <w:r>
        <w:t xml:space="preserve">UNITS-7: Use of decimal64</w:t>
      </w:r>
    </w:p>
    <w:p>
      <w:pPr>
        <w:pStyle w:val="FirstParagraph"/>
      </w:pPr>
      <w:r>
        <w:t xml:space="preserve">For a given data node, a base or</w:t>
      </w:r>
      <w:r>
        <w:t xml:space="preserve"> </w:t>
      </w:r>
      <w:r>
        <w:t xml:space="preserve">“unit”</w:t>
      </w:r>
      <w:r>
        <w:t xml:space="preserve"> </w:t>
      </w:r>
      <w:r>
        <w:t xml:space="preserve">along with the decimal64 type SHOULD be used rather than a derived</w:t>
      </w:r>
      <w:r>
        <w:t xml:space="preserve"> </w:t>
      </w:r>
      <w:r>
        <w:t xml:space="preserve">“unit”</w:t>
      </w:r>
      <w:r>
        <w:t xml:space="preserve"> </w:t>
      </w:r>
      <w:r>
        <w:t xml:space="preserve">along with an integer type.</w:t>
      </w:r>
    </w:p>
    <w:p>
      <w:pPr>
        <w:pStyle w:val="BodyText"/>
      </w:pPr>
      <w:r>
        <w:t xml:space="preserve">For example, use</w:t>
      </w:r>
    </w:p>
    <w:p>
      <w:pPr>
        <w:pStyle w:val="SourceCode"/>
      </w:pPr>
      <w:r>
        <w:rPr>
          <w:rStyle w:val="VerbatimChar"/>
        </w:rPr>
        <w:t xml:space="preserve">  leaf rx-power {</w:t>
      </w:r>
      <w:r>
        <w:br/>
      </w:r>
      <w:r>
        <w:rPr>
          <w:rStyle w:val="VerbatimChar"/>
        </w:rPr>
        <w:t xml:space="preserve">    type decimal64 {</w:t>
      </w:r>
      <w:r>
        <w:br/>
      </w:r>
      <w:r>
        <w:rPr>
          <w:rStyle w:val="VerbatimChar"/>
        </w:rPr>
        <w:t xml:space="preserve">      fraction-digits 4;</w:t>
      </w:r>
      <w:r>
        <w:br/>
      </w:r>
      <w:r>
        <w:rPr>
          <w:rStyle w:val="VerbatimChar"/>
        </w:rPr>
        <w:t xml:space="preserve">    }</w:t>
      </w:r>
      <w:r>
        <w:br/>
      </w:r>
      <w:r>
        <w:rPr>
          <w:rStyle w:val="VerbatimChar"/>
        </w:rPr>
        <w:t xml:space="preserve">    units "watts";</w:t>
      </w:r>
      <w:r>
        <w:br/>
      </w:r>
      <w:r>
        <w:rPr>
          <w:rStyle w:val="VerbatimChar"/>
        </w:rPr>
        <w:t xml:space="preserve">    description</w:t>
      </w:r>
      <w:r>
        <w:br/>
      </w:r>
      <w:r>
        <w:rPr>
          <w:rStyle w:val="VerbatimChar"/>
        </w:rPr>
        <w:t xml:space="preserve">      "The receive power reported in watts.";</w:t>
      </w:r>
      <w:r>
        <w:br/>
      </w:r>
      <w:r>
        <w:rPr>
          <w:rStyle w:val="VerbatimChar"/>
        </w:rPr>
        <w:t xml:space="preserve">  }</w:t>
      </w:r>
    </w:p>
    <w:p>
      <w:pPr>
        <w:pStyle w:val="FirstParagraph"/>
      </w:pPr>
      <w:r>
        <w:t xml:space="preserve">rather than</w:t>
      </w:r>
    </w:p>
    <w:p>
      <w:pPr>
        <w:pStyle w:val="SourceCode"/>
      </w:pPr>
      <w:r>
        <w:rPr>
          <w:rStyle w:val="VerbatimChar"/>
        </w:rPr>
        <w:t xml:space="preserve">  leaf rx-power {</w:t>
      </w:r>
      <w:r>
        <w:br/>
      </w:r>
      <w:r>
        <w:rPr>
          <w:rStyle w:val="VerbatimChar"/>
        </w:rPr>
        <w:t xml:space="preserve">    type uint32;</w:t>
      </w:r>
      <w:r>
        <w:br/>
      </w:r>
      <w:r>
        <w:rPr>
          <w:rStyle w:val="VerbatimChar"/>
        </w:rPr>
        <w:t xml:space="preserve">    units "0.1 milliwatts";</w:t>
      </w:r>
      <w:r>
        <w:br/>
      </w:r>
      <w:r>
        <w:rPr>
          <w:rStyle w:val="VerbatimChar"/>
        </w:rPr>
        <w:t xml:space="preserve">    description</w:t>
      </w:r>
      <w:r>
        <w:br/>
      </w:r>
      <w:r>
        <w:rPr>
          <w:rStyle w:val="VerbatimChar"/>
        </w:rPr>
        <w:t xml:space="preserve">      "The receive power reported in tenths of a milliwatt.";</w:t>
      </w:r>
      <w:r>
        <w:br/>
      </w:r>
      <w:r>
        <w:rPr>
          <w:rStyle w:val="VerbatimChar"/>
        </w:rPr>
        <w:t xml:space="preserve">  }</w:t>
      </w:r>
    </w:p>
    <w:p>
      <w:pPr>
        <w:pStyle w:val="FirstParagraph"/>
      </w:pPr>
      <w:r>
        <w:t xml:space="preserve">When applying this guideline, along with UNITS-3 and UNITS-4, to already published data models, strict adherence may not always be possible due to backward compatiblity issues. In those cases, express the</w:t>
      </w:r>
      <w:r>
        <w:t xml:space="preserve"> </w:t>
      </w:r>
      <w:r>
        <w:t xml:space="preserve">‘units’</w:t>
      </w:r>
      <w:r>
        <w:t xml:space="preserve"> </w:t>
      </w:r>
      <w:r>
        <w:t xml:space="preserve">relative to the closest base or a derived unit, e.g.,</w:t>
      </w:r>
      <w:r>
        <w:t xml:space="preserve"> </w:t>
      </w:r>
      <w:r>
        <w:t xml:space="preserve">“0.1 seconds”</w:t>
      </w:r>
      <w:r>
        <w:t xml:space="preserve"> </w:t>
      </w:r>
      <w:r>
        <w:t xml:space="preserve">or</w:t>
      </w:r>
      <w:r>
        <w:t xml:space="preserve"> </w:t>
      </w:r>
      <w:r>
        <w:t xml:space="preserve">“1/256 milliseconds”</w:t>
      </w:r>
      <w:r>
        <w:t xml:space="preserve">.</w:t>
      </w:r>
    </w:p>
    <w:bookmarkEnd w:id="149"/>
    <w:bookmarkStart w:id="150" w:name="sec:units-8-exceptions"/>
    <w:p>
      <w:pPr>
        <w:pStyle w:val="Heading3"/>
      </w:pPr>
      <w:r>
        <w:t xml:space="preserve">UNITS-8: Exceptions</w:t>
      </w:r>
    </w:p>
    <w:p>
      <w:pPr>
        <w:pStyle w:val="FirstParagraph"/>
      </w:pPr>
      <w:r>
        <w:t xml:space="preserve">At times, there may be a need to preserve the relationship with an underlying standard that would result in a non-adherence to these guidelines. Such instances should be carefuly evaluated on a case-by-case basis to determine if an exception should be made. For example, in TR-385, several data nodes exist that represent data in</w:t>
      </w:r>
      <w:r>
        <w:t xml:space="preserve"> </w:t>
      </w:r>
      <w:r>
        <w:t xml:space="preserve">“125 microsecond PHY frames”</w:t>
      </w:r>
      <w:r>
        <w:t xml:space="preserve">. Application of UNITS-1 would result in</w:t>
      </w:r>
      <w:r>
        <w:t xml:space="preserve"> </w:t>
      </w:r>
      <w:r>
        <w:t xml:space="preserve">‘units’</w:t>
      </w:r>
      <w:r>
        <w:t xml:space="preserve"> </w:t>
      </w:r>
      <w:r>
        <w:t xml:space="preserve">statements of either</w:t>
      </w:r>
      <w:r>
        <w:t xml:space="preserve"> </w:t>
      </w:r>
      <w:r>
        <w:t xml:space="preserve">“125 microseconds”</w:t>
      </w:r>
      <w:r>
        <w:t xml:space="preserve"> </w:t>
      </w:r>
      <w:r>
        <w:t xml:space="preserve">or</w:t>
      </w:r>
      <w:r>
        <w:t xml:space="preserve"> </w:t>
      </w:r>
      <w:r>
        <w:t xml:space="preserve">“0.125 milliseconds”</w:t>
      </w:r>
      <w:r>
        <w:t xml:space="preserve">. However, this would result in a disassociation with the underlying standard where the measurement in</w:t>
      </w:r>
      <w:r>
        <w:t xml:space="preserve"> </w:t>
      </w:r>
      <w:r>
        <w:t xml:space="preserve">“PHY frames”</w:t>
      </w:r>
      <w:r>
        <w:t xml:space="preserve"> </w:t>
      </w:r>
      <w:r>
        <w:t xml:space="preserve">is as equally important as is the representation of time.</w:t>
      </w:r>
    </w:p>
    <w:bookmarkEnd w:id="150"/>
    <w:bookmarkStart w:id="151" w:name="X04bb541aae3b3cf33164758e7fb4852ff067084"/>
    <w:p>
      <w:pPr>
        <w:pStyle w:val="Heading3"/>
      </w:pPr>
      <w:r>
        <w:t xml:space="preserve">UNITS-9: Frames vs Packets vs Messages</w:t>
      </w:r>
    </w:p>
    <w:p>
      <w:pPr>
        <w:pStyle w:val="FirstParagraph"/>
      </w:pPr>
      <w:r>
        <w:t xml:space="preserve">The use of</w:t>
      </w:r>
      <w:r>
        <w:t xml:space="preserve"> </w:t>
      </w:r>
      <w:r>
        <w:t xml:space="preserve">“frames”</w:t>
      </w:r>
      <w:r>
        <w:t xml:space="preserve">,</w:t>
      </w:r>
      <w:r>
        <w:t xml:space="preserve"> </w:t>
      </w:r>
      <w:r>
        <w:t xml:space="preserve">“packets”</w:t>
      </w:r>
      <w:r>
        <w:t xml:space="preserve"> </w:t>
      </w:r>
      <w:r>
        <w:t xml:space="preserve">and</w:t>
      </w:r>
      <w:r>
        <w:t xml:space="preserve"> </w:t>
      </w:r>
      <w:r>
        <w:t xml:space="preserve">“messages”</w:t>
      </w:r>
      <w:r>
        <w:t xml:space="preserve"> </w:t>
      </w:r>
      <w:r>
        <w:t xml:space="preserve">SHOULD be applied in a consistent manner based on the following guidelines:</w:t>
      </w:r>
    </w:p>
    <w:p>
      <w:pPr>
        <w:pStyle w:val="Compact"/>
        <w:numPr>
          <w:ilvl w:val="0"/>
          <w:numId w:val="1036"/>
        </w:numPr>
      </w:pPr>
      <w:r>
        <w:t xml:space="preserve">use</w:t>
      </w:r>
      <w:r>
        <w:t xml:space="preserve"> </w:t>
      </w:r>
      <w:r>
        <w:t xml:space="preserve">“frames”</w:t>
      </w:r>
      <w:r>
        <w:t xml:space="preserve"> </w:t>
      </w:r>
      <w:r>
        <w:t xml:space="preserve">when referring to layer 2, e.g., Ethernet frames, VLANs, etc.</w:t>
      </w:r>
    </w:p>
    <w:p>
      <w:pPr>
        <w:pStyle w:val="Compact"/>
        <w:numPr>
          <w:ilvl w:val="0"/>
          <w:numId w:val="1036"/>
        </w:numPr>
      </w:pPr>
      <w:r>
        <w:t xml:space="preserve">use</w:t>
      </w:r>
      <w:r>
        <w:t xml:space="preserve"> </w:t>
      </w:r>
      <w:r>
        <w:t xml:space="preserve">“packets”</w:t>
      </w:r>
      <w:r>
        <w:t xml:space="preserve"> </w:t>
      </w:r>
      <w:r>
        <w:t xml:space="preserve">when referring to layer 3, e.g., IP packets</w:t>
      </w:r>
    </w:p>
    <w:p>
      <w:pPr>
        <w:pStyle w:val="Compact"/>
        <w:numPr>
          <w:ilvl w:val="0"/>
          <w:numId w:val="1036"/>
        </w:numPr>
      </w:pPr>
      <w:r>
        <w:t xml:space="preserve">use</w:t>
      </w:r>
      <w:r>
        <w:t xml:space="preserve"> </w:t>
      </w:r>
      <w:r>
        <w:t xml:space="preserve">“messages”</w:t>
      </w:r>
      <w:r>
        <w:t xml:space="preserve"> </w:t>
      </w:r>
      <w:r>
        <w:t xml:space="preserve">when referring to protocols, e.g., DHCP messages, IGMP messages, etc.</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0" Target="https://datatracker.ietf.org/doc/html/rfc7950#section-11" TargetMode="External" /><Relationship Type="http://schemas.openxmlformats.org/officeDocument/2006/relationships/hyperlink" Id="rId126" Target="https://datatracker.ietf.org/doc/html/rfc7950#section-14" TargetMode="External" /><Relationship Type="http://schemas.openxmlformats.org/officeDocument/2006/relationships/hyperlink" Id="rId71" Target="https://datatracker.ietf.org/doc/html/rfc7950#section-5.1" TargetMode="External" /><Relationship Type="http://schemas.openxmlformats.org/officeDocument/2006/relationships/hyperlink" Id="rId53" Target="https://datatracker.ietf.org/doc/html/rfc7950#section-5.2" TargetMode="External" /><Relationship Type="http://schemas.openxmlformats.org/officeDocument/2006/relationships/hyperlink" Id="rId81" Target="https://datatracker.ietf.org/doc/html/rfc7950#section-6" TargetMode="External" /><Relationship Type="http://schemas.openxmlformats.org/officeDocument/2006/relationships/hyperlink" Id="rId55" Target="https://datatracker.ietf.org/doc/html/rfc7950#section-6.1.3" TargetMode="External" /><Relationship Type="http://schemas.openxmlformats.org/officeDocument/2006/relationships/hyperlink" Id="rId121" Target="https://datatracker.ietf.org/doc/html/rfc7950#section-7.21.2" TargetMode="External" /><Relationship Type="http://schemas.openxmlformats.org/officeDocument/2006/relationships/hyperlink" Id="rId86" Target="https://datatracker.ietf.org/doc/html/rfc7950#section-7.5.4" TargetMode="External" /><Relationship Type="http://schemas.openxmlformats.org/officeDocument/2006/relationships/hyperlink" Id="rId84" Target="https://datatracker.ietf.org/doc/html/rfc7950#section-7.5.4.1" TargetMode="External" /><Relationship Type="http://schemas.openxmlformats.org/officeDocument/2006/relationships/hyperlink" Id="rId115" Target="https://datatracker.ietf.org/doc/html/rfc7950#section-7.9.3" TargetMode="External" /><Relationship Type="http://schemas.openxmlformats.org/officeDocument/2006/relationships/hyperlink" Id="rId116" Target="https://datatracker.ietf.org/doc/html/rfc7950#section-9.11" TargetMode="External" /><Relationship Type="http://schemas.openxmlformats.org/officeDocument/2006/relationships/hyperlink" Id="rId127" Target="https://datatracker.ietf.org/doc/html/rfc8407#appendix-B" TargetMode="External" /><Relationship Type="http://schemas.openxmlformats.org/officeDocument/2006/relationships/hyperlink" Id="rId44" Target="https://datatracker.ietf.org/doc/html/rfc8407#section-2.2" TargetMode="External" /><Relationship Type="http://schemas.openxmlformats.org/officeDocument/2006/relationships/hyperlink" Id="rId46" Target="https://datatracker.ietf.org/doc/html/rfc8407#section-3.10" TargetMode="External" /><Relationship Type="http://schemas.openxmlformats.org/officeDocument/2006/relationships/hyperlink" Id="rId89" Target="https://datatracker.ietf.org/doc/html/rfc8407#section-3.6" TargetMode="External" /><Relationship Type="http://schemas.openxmlformats.org/officeDocument/2006/relationships/hyperlink" Id="rId51" Target="https://datatracker.ietf.org/doc/html/rfc8407#section-4" TargetMode="External" /><Relationship Type="http://schemas.openxmlformats.org/officeDocument/2006/relationships/hyperlink" Id="rId57" Target="https://datatracker.ietf.org/doc/html/rfc8407#section-4.1" TargetMode="External" /><Relationship Type="http://schemas.openxmlformats.org/officeDocument/2006/relationships/hyperlink" Id="rId91" Target="https://datatracker.ietf.org/doc/html/rfc8407#section-4.13" TargetMode="External" /><Relationship Type="http://schemas.openxmlformats.org/officeDocument/2006/relationships/hyperlink" Id="rId77" Target="https://datatracker.ietf.org/doc/html/rfc8407#section-4.19.1" TargetMode="External" /><Relationship Type="http://schemas.openxmlformats.org/officeDocument/2006/relationships/hyperlink" Id="rId69" Target="https://datatracker.ietf.org/doc/html/rfc8407#section-4.2" TargetMode="External" /><Relationship Type="http://schemas.openxmlformats.org/officeDocument/2006/relationships/hyperlink" Id="rId73" Target="https://datatracker.ietf.org/doc/html/rfc8407#section-4.3.1" TargetMode="External" /><Relationship Type="http://schemas.openxmlformats.org/officeDocument/2006/relationships/hyperlink" Id="rId75" Target="https://datatracker.ietf.org/doc/html/rfc8407#section-4.5" TargetMode="External" /><Relationship Type="http://schemas.openxmlformats.org/officeDocument/2006/relationships/hyperlink" Id="rId79" Target="https://datatracker.ietf.org/doc/html/rfc8407#section-4.7" TargetMode="External" /><Relationship Type="http://schemas.openxmlformats.org/officeDocument/2006/relationships/hyperlink" Id="rId59" Target="https://datatracker.ietf.org/doc/html/rfc8407#section-4.8" TargetMode="External" /><Relationship Type="http://schemas.openxmlformats.org/officeDocument/2006/relationships/hyperlink" Id="rId67" Target="https://datatracker.ietf.org/doc/html/rfc8407#section-4.9" TargetMode="External" /><Relationship Type="http://schemas.openxmlformats.org/officeDocument/2006/relationships/hyperlink" Id="rId48" Target="https://github.com/mbj4668/pyang" TargetMode="External" /><Relationship Type="http://schemas.openxmlformats.org/officeDocument/2006/relationships/hyperlink" Id="rId49" Target="https://hub.docker.com/r/broadbandforum/yangtools" TargetMode="External" /><Relationship Type="http://schemas.openxmlformats.org/officeDocument/2006/relationships/hyperlink" Id="rId47" Target="https://pypi.org/" TargetMode="External" /><Relationship Type="http://schemas.openxmlformats.org/officeDocument/2006/relationships/hyperlink" Id="rId42" Target="https://wiki.broadband-forum.org/display/BBF/OD-360%3A+YANG+Module+Template" TargetMode="External" /><Relationship Type="http://schemas.openxmlformats.org/officeDocument/2006/relationships/hyperlink" Id="rId141" Target="https://www.nist.gov/pml/special-publication-811" TargetMode="External" /><Relationship Type="http://schemas.openxmlformats.org/officeDocument/2006/relationships/hyperlink" Id="rId27" Target="https://www.rfc-editor.org/rfc/rfc2119.html" TargetMode="External" /><Relationship Type="http://schemas.openxmlformats.org/officeDocument/2006/relationships/hyperlink" Id="rId29" Target="https://www.rfc-editor.org/rfc/rfc7223.html" TargetMode="External" /><Relationship Type="http://schemas.openxmlformats.org/officeDocument/2006/relationships/hyperlink" Id="rId31" Target="https://www.rfc-editor.org/rfc/rfc7950.html" TargetMode="External" /><Relationship Type="http://schemas.openxmlformats.org/officeDocument/2006/relationships/hyperlink" Id="rId33" Target="https://www.rfc-editor.org/rfc/rfc8174.html" TargetMode="External" /><Relationship Type="http://schemas.openxmlformats.org/officeDocument/2006/relationships/hyperlink" Id="rId35" Target="https://www.rfc-editor.org/rfc/rfc8407.html" TargetMode="External" /><Relationship Type="http://schemas.openxmlformats.org/officeDocument/2006/relationships/hyperlink" Id="rId25"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120" Target="https://datatracker.ietf.org/doc/html/rfc7950#section-11" TargetMode="External" /><Relationship Type="http://schemas.openxmlformats.org/officeDocument/2006/relationships/hyperlink" Id="rId126" Target="https://datatracker.ietf.org/doc/html/rfc7950#section-14" TargetMode="External" /><Relationship Type="http://schemas.openxmlformats.org/officeDocument/2006/relationships/hyperlink" Id="rId71" Target="https://datatracker.ietf.org/doc/html/rfc7950#section-5.1" TargetMode="External" /><Relationship Type="http://schemas.openxmlformats.org/officeDocument/2006/relationships/hyperlink" Id="rId53" Target="https://datatracker.ietf.org/doc/html/rfc7950#section-5.2" TargetMode="External" /><Relationship Type="http://schemas.openxmlformats.org/officeDocument/2006/relationships/hyperlink" Id="rId81" Target="https://datatracker.ietf.org/doc/html/rfc7950#section-6" TargetMode="External" /><Relationship Type="http://schemas.openxmlformats.org/officeDocument/2006/relationships/hyperlink" Id="rId55" Target="https://datatracker.ietf.org/doc/html/rfc7950#section-6.1.3" TargetMode="External" /><Relationship Type="http://schemas.openxmlformats.org/officeDocument/2006/relationships/hyperlink" Id="rId121" Target="https://datatracker.ietf.org/doc/html/rfc7950#section-7.21.2" TargetMode="External" /><Relationship Type="http://schemas.openxmlformats.org/officeDocument/2006/relationships/hyperlink" Id="rId86" Target="https://datatracker.ietf.org/doc/html/rfc7950#section-7.5.4" TargetMode="External" /><Relationship Type="http://schemas.openxmlformats.org/officeDocument/2006/relationships/hyperlink" Id="rId84" Target="https://datatracker.ietf.org/doc/html/rfc7950#section-7.5.4.1" TargetMode="External" /><Relationship Type="http://schemas.openxmlformats.org/officeDocument/2006/relationships/hyperlink" Id="rId115" Target="https://datatracker.ietf.org/doc/html/rfc7950#section-7.9.3" TargetMode="External" /><Relationship Type="http://schemas.openxmlformats.org/officeDocument/2006/relationships/hyperlink" Id="rId116" Target="https://datatracker.ietf.org/doc/html/rfc7950#section-9.11" TargetMode="External" /><Relationship Type="http://schemas.openxmlformats.org/officeDocument/2006/relationships/hyperlink" Id="rId127" Target="https://datatracker.ietf.org/doc/html/rfc8407#appendix-B" TargetMode="External" /><Relationship Type="http://schemas.openxmlformats.org/officeDocument/2006/relationships/hyperlink" Id="rId44" Target="https://datatracker.ietf.org/doc/html/rfc8407#section-2.2" TargetMode="External" /><Relationship Type="http://schemas.openxmlformats.org/officeDocument/2006/relationships/hyperlink" Id="rId46" Target="https://datatracker.ietf.org/doc/html/rfc8407#section-3.10" TargetMode="External" /><Relationship Type="http://schemas.openxmlformats.org/officeDocument/2006/relationships/hyperlink" Id="rId89" Target="https://datatracker.ietf.org/doc/html/rfc8407#section-3.6" TargetMode="External" /><Relationship Type="http://schemas.openxmlformats.org/officeDocument/2006/relationships/hyperlink" Id="rId51" Target="https://datatracker.ietf.org/doc/html/rfc8407#section-4" TargetMode="External" /><Relationship Type="http://schemas.openxmlformats.org/officeDocument/2006/relationships/hyperlink" Id="rId57" Target="https://datatracker.ietf.org/doc/html/rfc8407#section-4.1" TargetMode="External" /><Relationship Type="http://schemas.openxmlformats.org/officeDocument/2006/relationships/hyperlink" Id="rId91" Target="https://datatracker.ietf.org/doc/html/rfc8407#section-4.13" TargetMode="External" /><Relationship Type="http://schemas.openxmlformats.org/officeDocument/2006/relationships/hyperlink" Id="rId77" Target="https://datatracker.ietf.org/doc/html/rfc8407#section-4.19.1" TargetMode="External" /><Relationship Type="http://schemas.openxmlformats.org/officeDocument/2006/relationships/hyperlink" Id="rId69" Target="https://datatracker.ietf.org/doc/html/rfc8407#section-4.2" TargetMode="External" /><Relationship Type="http://schemas.openxmlformats.org/officeDocument/2006/relationships/hyperlink" Id="rId73" Target="https://datatracker.ietf.org/doc/html/rfc8407#section-4.3.1" TargetMode="External" /><Relationship Type="http://schemas.openxmlformats.org/officeDocument/2006/relationships/hyperlink" Id="rId75" Target="https://datatracker.ietf.org/doc/html/rfc8407#section-4.5" TargetMode="External" /><Relationship Type="http://schemas.openxmlformats.org/officeDocument/2006/relationships/hyperlink" Id="rId79" Target="https://datatracker.ietf.org/doc/html/rfc8407#section-4.7" TargetMode="External" /><Relationship Type="http://schemas.openxmlformats.org/officeDocument/2006/relationships/hyperlink" Id="rId59" Target="https://datatracker.ietf.org/doc/html/rfc8407#section-4.8" TargetMode="External" /><Relationship Type="http://schemas.openxmlformats.org/officeDocument/2006/relationships/hyperlink" Id="rId67" Target="https://datatracker.ietf.org/doc/html/rfc8407#section-4.9" TargetMode="External" /><Relationship Type="http://schemas.openxmlformats.org/officeDocument/2006/relationships/hyperlink" Id="rId48" Target="https://github.com/mbj4668/pyang" TargetMode="External" /><Relationship Type="http://schemas.openxmlformats.org/officeDocument/2006/relationships/hyperlink" Id="rId49" Target="https://hub.docker.com/r/broadbandforum/yangtools" TargetMode="External" /><Relationship Type="http://schemas.openxmlformats.org/officeDocument/2006/relationships/hyperlink" Id="rId47" Target="https://pypi.org/" TargetMode="External" /><Relationship Type="http://schemas.openxmlformats.org/officeDocument/2006/relationships/hyperlink" Id="rId42" Target="https://wiki.broadband-forum.org/display/BBF/OD-360%3A+YANG+Module+Template" TargetMode="External" /><Relationship Type="http://schemas.openxmlformats.org/officeDocument/2006/relationships/hyperlink" Id="rId141" Target="https://www.nist.gov/pml/special-publication-811" TargetMode="External" /><Relationship Type="http://schemas.openxmlformats.org/officeDocument/2006/relationships/hyperlink" Id="rId27" Target="https://www.rfc-editor.org/rfc/rfc2119.html" TargetMode="External" /><Relationship Type="http://schemas.openxmlformats.org/officeDocument/2006/relationships/hyperlink" Id="rId29" Target="https://www.rfc-editor.org/rfc/rfc7223.html" TargetMode="External" /><Relationship Type="http://schemas.openxmlformats.org/officeDocument/2006/relationships/hyperlink" Id="rId31" Target="https://www.rfc-editor.org/rfc/rfc7950.html" TargetMode="External" /><Relationship Type="http://schemas.openxmlformats.org/officeDocument/2006/relationships/hyperlink" Id="rId33" Target="https://www.rfc-editor.org/rfc/rfc8174.html" TargetMode="External" /><Relationship Type="http://schemas.openxmlformats.org/officeDocument/2006/relationships/hyperlink" Id="rId35" Target="https://www.rfc-editor.org/rfc/rfc8407.html" TargetMode="External" /><Relationship Type="http://schemas.openxmlformats.org/officeDocument/2006/relationships/hyperlink" Id="rId25"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cp:keywords/>
  <dcterms:created xsi:type="dcterms:W3CDTF">2025-02-07T09:59:05Z</dcterms:created>
  <dcterms:modified xsi:type="dcterms:W3CDTF">2025-02-07T09:59:05Z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../../../install/pandoc//../python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January</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 Amendment 2</vt:lpwstr>
  </property>
  <property fmtid="{D5CDD505-2E9C-101B-9397-08002B2CF9AE}" pid="20" name="bbfWADsSpec">
    <vt:lpwstr/>
  </property>
  <property fmtid="{D5CDD505-2E9C-101B-9397-08002B2CF9AE}" pid="21" name="bbfWorkArea">
    <vt:lpwstr/>
  </property>
  <property fmtid="{D5CDD505-2E9C-101B-9397-08002B2CF9AE}" pid="22" name="bbfYear">
    <vt:lpwstr>2024</vt:lpwstr>
  </property>
  <property fmtid="{D5CDD505-2E9C-101B-9397-08002B2CF9AE}" pid="23" name="bibliography">
    <vt:lpwstr/>
  </property>
  <property fmtid="{D5CDD505-2E9C-101B-9397-08002B2CF9AE}" pid="24" name="buttons">
    <vt:lpwstr/>
  </property>
  <property fmtid="{D5CDD505-2E9C-101B-9397-08002B2CF9AE}" pid="25" name="citation-style">
    <vt:lpwstr>bbf.csl</vt:lpwstr>
  </property>
  <property fmtid="{D5CDD505-2E9C-101B-9397-08002B2CF9AE}" pid="26" name="copydate">
    <vt:lpwstr>2024</vt:lpwstr>
  </property>
  <property fmtid="{D5CDD505-2E9C-101B-9397-08002B2CF9AE}" pid="27" name="date">
    <vt:lpwstr>Issue Date: January 2024</vt:lpwstr>
  </property>
  <property fmtid="{D5CDD505-2E9C-101B-9397-08002B2CF9AE}" pid="28" name="description-meta">
    <vt:lpwstr>OD-360 – Broadband Forum YANG Modules: A set of YANG modules for managing access networks</vt:lpwstr>
  </property>
  <property fmtid="{D5CDD505-2E9C-101B-9397-08002B2CF9AE}" pid="29" name="doctitle">
    <vt:lpwstr>OD-360 – BBF YANG Best Current Practices</vt:lpwstr>
  </property>
  <property fmtid="{D5CDD505-2E9C-101B-9397-08002B2CF9AE}" pid="30" name="figPrefix">
    <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roject">
    <vt:lpwstr>Broadband Forum YANG Modules</vt:lpwstr>
  </property>
  <property fmtid="{D5CDD505-2E9C-101B-9397-08002B2CF9AE}" pid="41" name="reference-section-title">
    <vt:lpwstr>References</vt:lpwstr>
  </property>
  <property fmtid="{D5CDD505-2E9C-101B-9397-08002B2CF9AE}" pid="42" name="repodesc">
    <vt:lpwstr>Broadband Forum YANG Modules</vt:lpwstr>
  </property>
  <property fmtid="{D5CDD505-2E9C-101B-9397-08002B2CF9AE}" pid="43" name="reponame">
    <vt:lpwstr>yang</vt:lpwstr>
  </property>
  <property fmtid="{D5CDD505-2E9C-101B-9397-08002B2CF9AE}" pid="44" name="secPrefix">
    <vt:lpwstr/>
  </property>
  <property fmtid="{D5CDD505-2E9C-101B-9397-08002B2CF9AE}" pid="45" name="sectionsDepth">
    <vt:lpwstr>-1</vt:lpwstr>
  </property>
  <property fmtid="{D5CDD505-2E9C-101B-9397-08002B2CF9AE}" pid="46" name="shortname">
    <vt:lpwstr>OD-360</vt:lpwstr>
  </property>
  <property fmtid="{D5CDD505-2E9C-101B-9397-08002B2CF9AE}" pid="47" name="siteurl">
    <vt:lpwstr>index.html</vt:lpwstr>
  </property>
  <property fmtid="{D5CDD505-2E9C-101B-9397-08002B2CF9AE}" pid="48" name="status">
    <vt:lpwstr/>
  </property>
  <property fmtid="{D5CDD505-2E9C-101B-9397-08002B2CF9AE}" pid="49" name="subtitle">
    <vt:lpwstr>Issue: 1 Amendment 2 </vt:lpwstr>
  </property>
  <property fmtid="{D5CDD505-2E9C-101B-9397-08002B2CF9AE}" pid="50" name="tagline">
    <vt:lpwstr>A set of YANG modules for managing access networks</vt:lpwstr>
  </property>
  <property fmtid="{D5CDD505-2E9C-101B-9397-08002B2CF9AE}" pid="51" name="tblPrefix">
    <vt:lpwstr/>
  </property>
  <property fmtid="{D5CDD505-2E9C-101B-9397-08002B2CF9AE}" pid="52" name="theme-color">
    <vt:lpwstr>#157878</vt:lpwstr>
  </property>
  <property fmtid="{D5CDD505-2E9C-101B-9397-08002B2CF9AE}" pid="53" name="title-prefix">
    <vt:lpwstr>BBF</vt:lpwstr>
  </property>
  <property fmtid="{D5CDD505-2E9C-101B-9397-08002B2CF9AE}" pid="54" name="titleDelim">
    <vt:lpwstr> –</vt:lpwstr>
  </property>
  <property fmtid="{D5CDD505-2E9C-101B-9397-08002B2CF9AE}" pid="55" name="titleid">
    <vt:lpwstr>title</vt:lpwstr>
  </property>
  <property fmtid="{D5CDD505-2E9C-101B-9397-08002B2CF9AE}" pid="56" name="uspAcknowledgmentsSpec">
    <vt:lpwstr/>
  </property>
  <property fmtid="{D5CDD505-2E9C-101B-9397-08002B2CF9AE}" pid="57" name="uspEditorsSpec">
    <vt:lpwstr/>
  </property>
  <property fmtid="{D5CDD505-2E9C-101B-9397-08002B2CF9AE}" pid="58" name="uspPSLsSpec">
    <vt:lpwstr/>
  </property>
  <property fmtid="{D5CDD505-2E9C-101B-9397-08002B2CF9AE}" pid="59" name="uspRevisionHistorySpec">
    <vt:lpwstr/>
  </property>
  <property fmtid="{D5CDD505-2E9C-101B-9397-08002B2CF9AE}" pid="60" name="uspWADsSpec">
    <vt:lpwstr/>
  </property>
  <property fmtid="{D5CDD505-2E9C-101B-9397-08002B2CF9AE}" pid="61" name="version">
    <vt:lpwstr/>
  </property>
</Properties>
</file>