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 Amendment 2</w:t>
      </w:r>
      <w:r>
        <w:t xml:space="preserve"> </w:t>
      </w:r>
    </w:p>
    <w:p>
      <w:pPr>
        <w:pStyle w:val="Date"/>
      </w:pPr>
      <w:r>
        <w:t xml:space="preserve">Issue</w:t>
      </w:r>
      <w:r>
        <w:t xml:space="preserve"> </w:t>
      </w:r>
      <w:r>
        <w:t xml:space="preserve">Date:</w:t>
      </w:r>
      <w:r>
        <w:t xml:space="preserve"> </w:t>
      </w: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ook w:firstRow="1" w:lastRow="0" w:firstColumn="0" w:lastColumn="0" w:noHBand="0" w:noVBand="0" w:val="0020"/>
        <w:jc w:val="start"/>
        <w:tblLayout w:type="fixed"/>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r>
        <w:tc>
          <w:tcPr/>
          <w:p>
            <w:pPr>
              <w:pStyle w:val="Compact"/>
              <w:jc w:val="left"/>
            </w:pPr>
            <w:r>
              <w:t xml:space="preserve">Issue 1 Amendment 1</w:t>
            </w:r>
          </w:p>
        </w:tc>
        <w:tc>
          <w:tcPr/>
          <w:p>
            <w:pPr>
              <w:pStyle w:val="Compact"/>
              <w:jc w:val="left"/>
            </w:pPr>
            <w:r>
              <w:t xml:space="preserve">15 March 2023</w:t>
            </w:r>
          </w:p>
        </w:tc>
        <w:tc>
          <w:tcPr/>
          <w:p>
            <w:pPr>
              <w:pStyle w:val="Compact"/>
              <w:jc w:val="left"/>
            </w:pPr>
            <w:r>
              <w:t xml:space="preserve">Joey Boyd, Adtran</w:t>
            </w:r>
          </w:p>
        </w:tc>
        <w:tc>
          <w:tcPr/>
          <w:p>
            <w:pPr>
              <w:pStyle w:val="Compact"/>
              <w:jc w:val="left"/>
            </w:pPr>
            <w:r>
              <w:t xml:space="preserve">Add</w:t>
            </w:r>
            <w:r>
              <w:t xml:space="preserve"> </w:t>
            </w:r>
            <w:r>
              <w:t xml:space="preserve">‘</w:t>
            </w:r>
            <w:r>
              <w:t xml:space="preserve">units</w:t>
            </w:r>
            <w:r>
              <w:t xml:space="preserve">’</w:t>
            </w:r>
            <w:r>
              <w:t xml:space="preserve"> </w:t>
            </w:r>
            <w:r>
              <w:t xml:space="preserve">statement guidelines</w:t>
            </w:r>
          </w:p>
        </w:tc>
      </w:tr>
      <w:tr>
        <w:tc>
          <w:tcPr/>
          <w:p>
            <w:pPr>
              <w:pStyle w:val="Compact"/>
              <w:jc w:val="left"/>
            </w:pPr>
            <w:r>
              <w:t xml:space="preserve">Issue 1 Amendment 2</w:t>
            </w:r>
          </w:p>
        </w:tc>
        <w:tc>
          <w:tcPr/>
          <w:p>
            <w:pPr>
              <w:pStyle w:val="Compact"/>
              <w:jc w:val="left"/>
            </w:pPr>
            <w:r>
              <w:t xml:space="preserve">19 January 2024</w:t>
            </w:r>
          </w:p>
        </w:tc>
        <w:tc>
          <w:tcPr/>
          <w:p>
            <w:pPr>
              <w:pStyle w:val="Compact"/>
              <w:jc w:val="left"/>
            </w:pPr>
            <w:r>
              <w:t xml:space="preserve">Joey Boyd, Adtran</w:t>
            </w:r>
          </w:p>
        </w:tc>
        <w:tc>
          <w:tcPr/>
          <w:p>
            <w:pPr>
              <w:pStyle w:val="Compact"/>
              <w:jc w:val="left"/>
            </w:pPr>
            <w:r>
              <w:t xml:space="preserve">Add new IETF guidelines IETF-21 and IETF-22. Add new BBF guidelines BBF-21 through BBF-29. Address minor corrections to existing guidelines.</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8" w:name="sec:references"/>
    <w:p>
      <w:pPr>
        <w:pStyle w:val="Heading1"/>
      </w:pPr>
      <w:r>
        <w:t xml:space="preserve">References</w:t>
      </w:r>
    </w:p>
    <w:bookmarkStart w:id="37" w:name="refs"/>
    <w:bookmarkStart w:id="28" w:name="ref-RFC2119"/>
    <w:p>
      <w:pPr>
        <w:pStyle w:val="Bibliography"/>
      </w:pPr>
      <w:r>
        <w:t xml:space="preserve">[1]</w:t>
      </w:r>
      <w:r>
        <w:t xml:space="preserve"> </w:t>
      </w:r>
      <w:r>
        <w:t xml:space="preserve">	</w:t>
      </w:r>
      <w:r>
        <w:t xml:space="preserve">RFC 2119,</w:t>
      </w:r>
      <w:r>
        <w:t xml:space="preserve"> </w:t>
      </w:r>
      <w:hyperlink r:id="rId27">
        <w:r>
          <w:rPr>
            <w:rStyle w:val="Hyperlink"/>
            <w:iCs/>
            <w:i/>
          </w:rPr>
          <w:t xml:space="preserve">Key words for use in</w:t>
        </w:r>
        <w:r>
          <w:rPr>
            <w:rStyle w:val="Hyperlink"/>
            <w:iCs/>
            <w:i/>
          </w:rPr>
          <w:t xml:space="preserve"> </w:t>
        </w:r>
        <w:r>
          <w:rPr>
            <w:rStyle w:val="Hyperlink"/>
            <w:iCs/>
            <w:i/>
          </w:rPr>
          <w:t xml:space="preserve">RFCs</w:t>
        </w:r>
        <w:r>
          <w:rPr>
            <w:rStyle w:val="Hyperlink"/>
            <w:iCs/>
            <w:i/>
          </w:rPr>
          <w:t xml:space="preserve"> </w:t>
        </w:r>
        <w:r>
          <w:rPr>
            <w:rStyle w:val="Hyperlink"/>
            <w:iCs/>
            <w:i/>
          </w:rPr>
          <w:t xml:space="preserve">to</w:t>
        </w:r>
        <w:r>
          <w:rPr>
            <w:rStyle w:val="Hyperlink"/>
            <w:iCs/>
            <w:i/>
          </w:rPr>
          <w:t xml:space="preserve"> </w:t>
        </w:r>
        <w:r>
          <w:rPr>
            <w:rStyle w:val="Hyperlink"/>
            <w:iCs/>
            <w:i/>
          </w:rPr>
          <w:t xml:space="preserve">Indicate</w:t>
        </w:r>
        <w:r>
          <w:rPr>
            <w:rStyle w:val="Hyperlink"/>
            <w:iCs/>
            <w:i/>
          </w:rPr>
          <w:t xml:space="preserve"> </w:t>
        </w:r>
        <w:r>
          <w:rPr>
            <w:rStyle w:val="Hyperlink"/>
            <w:iCs/>
            <w:i/>
          </w:rPr>
          <w:t xml:space="preserve">Requirement</w:t>
        </w:r>
        <w:r>
          <w:rPr>
            <w:rStyle w:val="Hyperlink"/>
            <w:iCs/>
            <w:i/>
          </w:rPr>
          <w:t xml:space="preserve"> </w:t>
        </w:r>
        <w:r>
          <w:rPr>
            <w:rStyle w:val="Hyperlink"/>
            <w:iCs/>
            <w:i/>
          </w:rPr>
          <w:t xml:space="preserve">Levels</w:t>
        </w:r>
      </w:hyperlink>
      <w:r>
        <w:t xml:space="preserve">, IETF, 1997</w:t>
      </w:r>
    </w:p>
    <w:bookmarkEnd w:id="28"/>
    <w:bookmarkStart w:id="30" w:name="ref-RFC7223"/>
    <w:p>
      <w:pPr>
        <w:pStyle w:val="Bibliography"/>
      </w:pPr>
      <w:r>
        <w:t xml:space="preserve">[2]</w:t>
      </w:r>
      <w:r>
        <w:t xml:space="preserve"> </w:t>
      </w:r>
      <w:r>
        <w:t xml:space="preserve">	</w:t>
      </w:r>
      <w:r>
        <w:t xml:space="preserve">RFC 7223,</w:t>
      </w:r>
      <w:r>
        <w:t xml:space="preserve"> </w:t>
      </w:r>
      <w:hyperlink r:id="rId29">
        <w:r>
          <w:rPr>
            <w:rStyle w:val="Hyperlink"/>
            <w:iCs/>
            <w:i/>
          </w:rPr>
          <w:t xml:space="preserve">A</w:t>
        </w:r>
        <w:r>
          <w:rPr>
            <w:rStyle w:val="Hyperlink"/>
            <w:iCs/>
            <w:i/>
          </w:rPr>
          <w:t xml:space="preserve"> </w:t>
        </w:r>
        <w:r>
          <w:rPr>
            <w:rStyle w:val="Hyperlink"/>
            <w:iCs/>
            <w:i/>
          </w:rPr>
          <w:t xml:space="preserve">YANG</w:t>
        </w:r>
        <w:r>
          <w:rPr>
            <w:rStyle w:val="Hyperlink"/>
            <w:iCs/>
            <w:i/>
          </w:rPr>
          <w:t xml:space="preserve"> </w:t>
        </w:r>
        <w:r>
          <w:rPr>
            <w:rStyle w:val="Hyperlink"/>
            <w:iCs/>
            <w:i/>
          </w:rPr>
          <w:t xml:space="preserve">Data</w:t>
        </w:r>
        <w:r>
          <w:rPr>
            <w:rStyle w:val="Hyperlink"/>
            <w:iCs/>
            <w:i/>
          </w:rPr>
          <w:t xml:space="preserve"> </w:t>
        </w:r>
        <w:r>
          <w:rPr>
            <w:rStyle w:val="Hyperlink"/>
            <w:iCs/>
            <w:i/>
          </w:rPr>
          <w:t xml:space="preserve">Model</w:t>
        </w:r>
        <w:r>
          <w:rPr>
            <w:rStyle w:val="Hyperlink"/>
            <w:iCs/>
            <w:i/>
          </w:rPr>
          <w:t xml:space="preserve"> </w:t>
        </w:r>
        <w:r>
          <w:rPr>
            <w:rStyle w:val="Hyperlink"/>
            <w:iCs/>
            <w:i/>
          </w:rPr>
          <w:t xml:space="preserve">for</w:t>
        </w:r>
        <w:r>
          <w:rPr>
            <w:rStyle w:val="Hyperlink"/>
            <w:iCs/>
            <w:i/>
          </w:rPr>
          <w:t xml:space="preserve"> </w:t>
        </w:r>
        <w:r>
          <w:rPr>
            <w:rStyle w:val="Hyperlink"/>
            <w:iCs/>
            <w:i/>
          </w:rPr>
          <w:t xml:space="preserve">Interface</w:t>
        </w:r>
        <w:r>
          <w:rPr>
            <w:rStyle w:val="Hyperlink"/>
            <w:iCs/>
            <w:i/>
          </w:rPr>
          <w:t xml:space="preserve"> </w:t>
        </w:r>
        <w:r>
          <w:rPr>
            <w:rStyle w:val="Hyperlink"/>
            <w:iCs/>
            <w:i/>
          </w:rPr>
          <w:t xml:space="preserve">Management</w:t>
        </w:r>
      </w:hyperlink>
      <w:r>
        <w:t xml:space="preserve">, IETF, 2014</w:t>
      </w:r>
    </w:p>
    <w:bookmarkEnd w:id="30"/>
    <w:bookmarkStart w:id="32" w:name="ref-RFC7950"/>
    <w:p>
      <w:pPr>
        <w:pStyle w:val="Bibliography"/>
      </w:pPr>
      <w:r>
        <w:t xml:space="preserve">[3]</w:t>
      </w:r>
      <w:r>
        <w:t xml:space="preserve"> </w:t>
      </w:r>
      <w:r>
        <w:t xml:space="preserve">	</w:t>
      </w:r>
      <w:r>
        <w:t xml:space="preserve">RFC 7950,</w:t>
      </w:r>
      <w:r>
        <w:t xml:space="preserve"> </w:t>
      </w:r>
      <w:hyperlink r:id="rId31">
        <w:r>
          <w:rPr>
            <w:rStyle w:val="Hyperlink"/>
            <w:iCs/>
            <w:i/>
          </w:rPr>
          <w:t xml:space="preserve">The</w:t>
        </w:r>
        <w:r>
          <w:rPr>
            <w:rStyle w:val="Hyperlink"/>
            <w:iCs/>
            <w:i/>
          </w:rPr>
          <w:t xml:space="preserve"> </w:t>
        </w:r>
        <w:r>
          <w:rPr>
            <w:rStyle w:val="Hyperlink"/>
            <w:iCs/>
            <w:i/>
          </w:rPr>
          <w:t xml:space="preserve">YANG</w:t>
        </w:r>
        <w:r>
          <w:rPr>
            <w:rStyle w:val="Hyperlink"/>
            <w:iCs/>
            <w:i/>
          </w:rPr>
          <w:t xml:space="preserve"> </w:t>
        </w:r>
        <w:r>
          <w:rPr>
            <w:rStyle w:val="Hyperlink"/>
            <w:iCs/>
            <w:i/>
          </w:rPr>
          <w:t xml:space="preserve">1.1</w:t>
        </w:r>
        <w:r>
          <w:rPr>
            <w:rStyle w:val="Hyperlink"/>
            <w:iCs/>
            <w:i/>
          </w:rPr>
          <w:t xml:space="preserve"> </w:t>
        </w:r>
        <w:r>
          <w:rPr>
            <w:rStyle w:val="Hyperlink"/>
            <w:iCs/>
            <w:i/>
          </w:rPr>
          <w:t xml:space="preserve">Data</w:t>
        </w:r>
        <w:r>
          <w:rPr>
            <w:rStyle w:val="Hyperlink"/>
            <w:iCs/>
            <w:i/>
          </w:rPr>
          <w:t xml:space="preserve"> </w:t>
        </w:r>
        <w:r>
          <w:rPr>
            <w:rStyle w:val="Hyperlink"/>
            <w:iCs/>
            <w:i/>
          </w:rPr>
          <w:t xml:space="preserve">Modeling</w:t>
        </w:r>
        <w:r>
          <w:rPr>
            <w:rStyle w:val="Hyperlink"/>
            <w:iCs/>
            <w:i/>
          </w:rPr>
          <w:t xml:space="preserve"> </w:t>
        </w:r>
        <w:r>
          <w:rPr>
            <w:rStyle w:val="Hyperlink"/>
            <w:iCs/>
            <w:i/>
          </w:rPr>
          <w:t xml:space="preserve">Language</w:t>
        </w:r>
      </w:hyperlink>
      <w:r>
        <w:t xml:space="preserve">, IETF, 2016</w:t>
      </w:r>
    </w:p>
    <w:bookmarkEnd w:id="32"/>
    <w:bookmarkStart w:id="34" w:name="ref-RFC8174"/>
    <w:p>
      <w:pPr>
        <w:pStyle w:val="Bibliography"/>
      </w:pPr>
      <w:r>
        <w:t xml:space="preserve">[4]</w:t>
      </w:r>
      <w:r>
        <w:t xml:space="preserve"> </w:t>
      </w:r>
      <w:r>
        <w:t xml:space="preserve">	</w:t>
      </w:r>
      <w:r>
        <w:t xml:space="preserve">RFC 8174,</w:t>
      </w:r>
      <w:r>
        <w:t xml:space="preserve"> </w:t>
      </w:r>
      <w:hyperlink r:id="rId33">
        <w:r>
          <w:rPr>
            <w:rStyle w:val="Hyperlink"/>
            <w:iCs/>
            <w:i/>
          </w:rPr>
          <w:t xml:space="preserve">Ambiguity of</w:t>
        </w:r>
        <w:r>
          <w:rPr>
            <w:rStyle w:val="Hyperlink"/>
            <w:iCs/>
            <w:i/>
          </w:rPr>
          <w:t xml:space="preserve"> </w:t>
        </w:r>
        <w:r>
          <w:rPr>
            <w:rStyle w:val="Hyperlink"/>
            <w:iCs/>
            <w:i/>
          </w:rPr>
          <w:t xml:space="preserve">Uppercase</w:t>
        </w:r>
        <w:r>
          <w:rPr>
            <w:rStyle w:val="Hyperlink"/>
            <w:iCs/>
            <w:i/>
          </w:rPr>
          <w:t xml:space="preserve"> </w:t>
        </w:r>
        <w:r>
          <w:rPr>
            <w:rStyle w:val="Hyperlink"/>
            <w:iCs/>
            <w:i/>
          </w:rPr>
          <w:t xml:space="preserve">vs</w:t>
        </w:r>
        <w:r>
          <w:rPr>
            <w:rStyle w:val="Hyperlink"/>
            <w:iCs/>
            <w:i/>
          </w:rPr>
          <w:t xml:space="preserve"> </w:t>
        </w:r>
        <w:r>
          <w:rPr>
            <w:rStyle w:val="Hyperlink"/>
            <w:iCs/>
            <w:i/>
          </w:rPr>
          <w:t xml:space="preserve">Lowercase</w:t>
        </w:r>
        <w:r>
          <w:rPr>
            <w:rStyle w:val="Hyperlink"/>
            <w:iCs/>
            <w:i/>
          </w:rPr>
          <w:t xml:space="preserve"> </w:t>
        </w:r>
        <w:r>
          <w:rPr>
            <w:rStyle w:val="Hyperlink"/>
            <w:iCs/>
            <w:i/>
          </w:rPr>
          <w:t xml:space="preserve">in</w:t>
        </w:r>
        <w:r>
          <w:rPr>
            <w:rStyle w:val="Hyperlink"/>
            <w:iCs/>
            <w:i/>
          </w:rPr>
          <w:t xml:space="preserve"> </w:t>
        </w:r>
        <w:r>
          <w:rPr>
            <w:rStyle w:val="Hyperlink"/>
            <w:iCs/>
            <w:i/>
          </w:rPr>
          <w:t xml:space="preserve">RFC</w:t>
        </w:r>
        <w:r>
          <w:rPr>
            <w:rStyle w:val="Hyperlink"/>
            <w:iCs/>
            <w:i/>
          </w:rPr>
          <w:t xml:space="preserve"> </w:t>
        </w:r>
        <w:r>
          <w:rPr>
            <w:rStyle w:val="Hyperlink"/>
            <w:iCs/>
            <w:i/>
          </w:rPr>
          <w:t xml:space="preserve">2119</w:t>
        </w:r>
        <w:r>
          <w:rPr>
            <w:rStyle w:val="Hyperlink"/>
            <w:iCs/>
            <w:i/>
          </w:rPr>
          <w:t xml:space="preserve"> </w:t>
        </w:r>
        <w:r>
          <w:rPr>
            <w:rStyle w:val="Hyperlink"/>
            <w:iCs/>
            <w:i/>
          </w:rPr>
          <w:t xml:space="preserve">Key</w:t>
        </w:r>
        <w:r>
          <w:rPr>
            <w:rStyle w:val="Hyperlink"/>
            <w:iCs/>
            <w:i/>
          </w:rPr>
          <w:t xml:space="preserve"> </w:t>
        </w:r>
        <w:r>
          <w:rPr>
            <w:rStyle w:val="Hyperlink"/>
            <w:iCs/>
            <w:i/>
          </w:rPr>
          <w:t xml:space="preserve">Words</w:t>
        </w:r>
      </w:hyperlink>
      <w:r>
        <w:t xml:space="preserve">, IETF, 2017</w:t>
      </w:r>
    </w:p>
    <w:bookmarkEnd w:id="34"/>
    <w:bookmarkStart w:id="36" w:name="ref-RFC8407"/>
    <w:p>
      <w:pPr>
        <w:pStyle w:val="Bibliography"/>
      </w:pPr>
      <w:r>
        <w:t xml:space="preserve">[5]</w:t>
      </w:r>
      <w:r>
        <w:t xml:space="preserve"> </w:t>
      </w:r>
      <w:r>
        <w:t xml:space="preserve">	</w:t>
      </w:r>
      <w:r>
        <w:t xml:space="preserve">RFC 8407,</w:t>
      </w:r>
      <w:r>
        <w:t xml:space="preserve"> </w:t>
      </w:r>
      <w:hyperlink r:id="rId35">
        <w:r>
          <w:rPr>
            <w:rStyle w:val="Hyperlink"/>
            <w:iCs/>
            <w:i/>
          </w:rPr>
          <w:t xml:space="preserve">Guidelines for</w:t>
        </w:r>
        <w:r>
          <w:rPr>
            <w:rStyle w:val="Hyperlink"/>
            <w:iCs/>
            <w:i/>
          </w:rPr>
          <w:t xml:space="preserve"> </w:t>
        </w:r>
        <w:r>
          <w:rPr>
            <w:rStyle w:val="Hyperlink"/>
            <w:iCs/>
            <w:i/>
          </w:rPr>
          <w:t xml:space="preserve">Authors</w:t>
        </w:r>
        <w:r>
          <w:rPr>
            <w:rStyle w:val="Hyperlink"/>
            <w:iCs/>
            <w:i/>
          </w:rPr>
          <w:t xml:space="preserve"> </w:t>
        </w:r>
        <w:r>
          <w:rPr>
            <w:rStyle w:val="Hyperlink"/>
            <w:iCs/>
            <w:i/>
          </w:rPr>
          <w:t xml:space="preserve">and</w:t>
        </w:r>
        <w:r>
          <w:rPr>
            <w:rStyle w:val="Hyperlink"/>
            <w:iCs/>
            <w:i/>
          </w:rPr>
          <w:t xml:space="preserve"> </w:t>
        </w:r>
        <w:r>
          <w:rPr>
            <w:rStyle w:val="Hyperlink"/>
            <w:iCs/>
            <w:i/>
          </w:rPr>
          <w:t xml:space="preserve">Reviewers</w:t>
        </w:r>
        <w:r>
          <w:rPr>
            <w:rStyle w:val="Hyperlink"/>
            <w:iCs/>
            <w:i/>
          </w:rPr>
          <w:t xml:space="preserve"> </w:t>
        </w:r>
        <w:r>
          <w:rPr>
            <w:rStyle w:val="Hyperlink"/>
            <w:iCs/>
            <w:i/>
          </w:rPr>
          <w:t xml:space="preserve">of</w:t>
        </w:r>
        <w:r>
          <w:rPr>
            <w:rStyle w:val="Hyperlink"/>
            <w:iCs/>
            <w:i/>
          </w:rPr>
          <w:t xml:space="preserve"> </w:t>
        </w:r>
        <w:r>
          <w:rPr>
            <w:rStyle w:val="Hyperlink"/>
            <w:iCs/>
            <w:i/>
          </w:rPr>
          <w:t xml:space="preserve">Documents</w:t>
        </w:r>
        <w:r>
          <w:rPr>
            <w:rStyle w:val="Hyperlink"/>
            <w:iCs/>
            <w:i/>
          </w:rPr>
          <w:t xml:space="preserve"> </w:t>
        </w:r>
        <w:r>
          <w:rPr>
            <w:rStyle w:val="Hyperlink"/>
            <w:iCs/>
            <w:i/>
          </w:rPr>
          <w:t xml:space="preserve">Containing</w:t>
        </w:r>
        <w:r>
          <w:rPr>
            <w:rStyle w:val="Hyperlink"/>
            <w:iCs/>
            <w:i/>
          </w:rPr>
          <w:t xml:space="preserve"> </w:t>
        </w:r>
        <w:r>
          <w:rPr>
            <w:rStyle w:val="Hyperlink"/>
            <w:iCs/>
            <w:i/>
          </w:rPr>
          <w:t xml:space="preserve">YANG</w:t>
        </w:r>
        <w:r>
          <w:rPr>
            <w:rStyle w:val="Hyperlink"/>
            <w:iCs/>
            <w:i/>
          </w:rPr>
          <w:t xml:space="preserve"> </w:t>
        </w:r>
        <w:r>
          <w:rPr>
            <w:rStyle w:val="Hyperlink"/>
            <w:iCs/>
            <w:i/>
          </w:rPr>
          <w:t xml:space="preserve">Data</w:t>
        </w:r>
        <w:r>
          <w:rPr>
            <w:rStyle w:val="Hyperlink"/>
            <w:iCs/>
            <w:i/>
          </w:rPr>
          <w:t xml:space="preserve"> </w:t>
        </w:r>
        <w:r>
          <w:rPr>
            <w:rStyle w:val="Hyperlink"/>
            <w:iCs/>
            <w:i/>
          </w:rPr>
          <w:t xml:space="preserve">Models</w:t>
        </w:r>
      </w:hyperlink>
      <w:r>
        <w:t xml:space="preserve">, IETF, 2018</w:t>
      </w:r>
    </w:p>
    <w:bookmarkEnd w:id="36"/>
    <w:bookmarkEnd w:id="37"/>
    <w:bookmarkEnd w:id="38"/>
    <w:bookmarkStart w:id="40"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 The guidelines put forth by this document not only provide guidance for authors of BBF YANG models but are also enforced prior to YANG model publication to ensure a high level of quality and consistency across BBF projects.</w:t>
      </w:r>
    </w:p>
    <w:bookmarkStart w:id="39"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[3]</w:t>
        </w:r>
      </w:hyperlink>
      <w:r>
        <w:t xml:space="preserve"> </w:t>
      </w:r>
      <w:r>
        <w:t xml:space="preserve">for use in all BBF YANG Data Models.</w:t>
      </w:r>
    </w:p>
    <w:bookmarkEnd w:id="39"/>
    <w:bookmarkEnd w:id="40"/>
    <w:bookmarkStart w:id="153"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41"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41"/>
    <w:bookmarkStart w:id="43" w:name="sec:template"/>
    <w:p>
      <w:pPr>
        <w:pStyle w:val="Heading2"/>
      </w:pPr>
      <w:r>
        <w:t xml:space="preserve">Template</w:t>
      </w:r>
    </w:p>
    <w:p>
      <w:pPr>
        <w:pStyle w:val="FirstParagraph"/>
      </w:pPr>
      <w:r>
        <w:t xml:space="preserve">New YANG modules MAY be created from the BBF template as shown here:</w:t>
      </w:r>
      <w:r>
        <w:t xml:space="preserve"> </w:t>
      </w:r>
      <w:hyperlink r:id="rId42">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3"/>
    <w:bookmarkStart w:id="93"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[5]</w:t>
        </w:r>
      </w:hyperlink>
      <w:r>
        <w:t xml:space="preserve">,</w:t>
      </w:r>
      <w:r>
        <w:t xml:space="preserve"> </w:t>
      </w:r>
      <w:r>
        <w:rPr>
          <w:bCs/>
          <w:b/>
        </w:rPr>
        <w:t xml:space="preserve">apply in their entirety to BBF YANG modules</w:t>
      </w:r>
      <w:r>
        <w:t xml:space="preserve">. However, they are aimed at IETF Standards Track YANG modules and contain some IETF specific guidelines that cannot be applied literally to BBF YANG modules.</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5" w:name="sec:ietf-1-yang-terms"/>
    <w:p>
      <w:pPr>
        <w:pStyle w:val="Heading3"/>
      </w:pPr>
      <w:r>
        <w:t xml:space="preserve">IETF-1: YANG Terms</w:t>
      </w:r>
    </w:p>
    <w:p>
      <w:pPr>
        <w:pStyle w:val="FirstParagraph"/>
      </w:pPr>
      <w:r>
        <w:rPr>
          <w:iCs/>
          <w:i/>
        </w:rPr>
        <w:t xml:space="preserve">This guideline extends section</w:t>
      </w:r>
      <w:r>
        <w:rPr>
          <w:iCs/>
          <w:i/>
        </w:rPr>
        <w:t xml:space="preserve"> </w:t>
      </w:r>
      <w:hyperlink r:id="rId44">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5"/>
    <w:bookmarkStart w:id="50" w:name="sec:ietf-2-yang-validation"/>
    <w:p>
      <w:pPr>
        <w:pStyle w:val="Heading3"/>
      </w:pPr>
      <w:r>
        <w:t xml:space="preserve">IETF-2: YANG Validation</w:t>
      </w:r>
    </w:p>
    <w:p>
      <w:pPr>
        <w:pStyle w:val="FirstParagraph"/>
      </w:pPr>
      <w:r>
        <w:rPr>
          <w:iCs/>
          <w:i/>
        </w:rPr>
        <w:t xml:space="preserve">This guideline overrides section</w:t>
      </w:r>
      <w:r>
        <w:rPr>
          <w:iCs/>
          <w:i/>
        </w:rPr>
        <w:t xml:space="preserve"> </w:t>
      </w:r>
      <w:hyperlink r:id="rId46">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Alternatively, pyang provides the following BBF-specific option that performs the same checks as the options noted above.</w:t>
      </w:r>
    </w:p>
    <w:p>
      <w:pPr>
        <w:pStyle w:val="SourceCode"/>
      </w:pPr>
      <w:r>
        <w:rPr>
          <w:rStyle w:val="VerbatimChar"/>
        </w:rPr>
        <w:t xml:space="preserve">  --bbf</w:t>
      </w:r>
    </w:p>
    <w:p>
      <w:pPr>
        <w:pStyle w:val="FirstParagraph"/>
      </w:pPr>
      <w:r>
        <w:t xml:space="preserve">pyang can be installed via</w:t>
      </w:r>
      <w:r>
        <w:t xml:space="preserve"> </w:t>
      </w:r>
      <w:hyperlink r:id="rId47">
        <w:r>
          <w:rPr>
            <w:rStyle w:val="Hyperlink"/>
          </w:rPr>
          <w:t xml:space="preserve">PyPi</w:t>
        </w:r>
      </w:hyperlink>
      <w:r>
        <w:t xml:space="preserve">.</w:t>
      </w:r>
    </w:p>
    <w:p>
      <w:pPr>
        <w:pStyle w:val="BodyText"/>
      </w:pPr>
      <w:r>
        <w:t xml:space="preserve">The GitHub version of the pyang tool is available at</w:t>
      </w:r>
      <w:r>
        <w:t xml:space="preserve"> </w:t>
      </w:r>
      <w:hyperlink r:id="rId48">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9">
        <w:r>
          <w:rPr>
            <w:rStyle w:val="Hyperlink"/>
          </w:rPr>
          <w:t xml:space="preserve">https://hub.docker.com/r/broadbandforum/yangtools</w:t>
        </w:r>
      </w:hyperlink>
    </w:p>
    <w:bookmarkEnd w:id="50"/>
    <w:bookmarkStart w:id="52" w:name="sec:ietf-3-yang-usage-guidelines"/>
    <w:p>
      <w:pPr>
        <w:pStyle w:val="Heading3"/>
      </w:pPr>
      <w:r>
        <w:t xml:space="preserve">IETF-3: YANG Usage Guidelines</w:t>
      </w:r>
    </w:p>
    <w:p>
      <w:pPr>
        <w:pStyle w:val="FirstParagraph"/>
      </w:pPr>
      <w:r>
        <w:rPr>
          <w:iCs/>
          <w:i/>
        </w:rPr>
        <w:t xml:space="preserve">This guideline restates section</w:t>
      </w:r>
      <w:r>
        <w:rPr>
          <w:iCs/>
          <w:i/>
        </w:rPr>
        <w:t xml:space="preserve"> </w:t>
      </w:r>
      <w:hyperlink r:id="rId51">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 </w:t>
      </w:r>
      <w:r>
        <w:rPr>
          <w:iCs/>
          <w:i/>
        </w:rPr>
        <w:t xml:space="preserve">in the context of the BBF.</w:t>
      </w:r>
    </w:p>
    <w:p>
      <w:pPr>
        <w:pStyle w:val="BodyText"/>
      </w:pPr>
      <w:r>
        <w:t xml:space="preserve">BBF YANG modules MUST comply with all syntactic and semantic requirements of YANG 1.1</w:t>
      </w:r>
      <w:r>
        <w:t xml:space="preserve"> </w:t>
      </w:r>
      <w:hyperlink w:anchor="ref-RFC7950">
        <w:r>
          <w:rPr>
            <w:rStyle w:val="Hyperlink"/>
          </w:rPr>
          <w:t xml:space="preserve">[3]</w:t>
        </w:r>
      </w:hyperlink>
      <w:r>
        <w:t xml:space="preserve">.</w:t>
      </w:r>
    </w:p>
    <w:bookmarkEnd w:id="52"/>
    <w:bookmarkStart w:id="54" w:name="sec:ietf-4-file-layout"/>
    <w:p>
      <w:pPr>
        <w:pStyle w:val="Heading3"/>
      </w:pPr>
      <w:r>
        <w:t xml:space="preserve">IETF-4: File Layout</w:t>
      </w:r>
    </w:p>
    <w:p>
      <w:pPr>
        <w:pStyle w:val="FirstParagraph"/>
      </w:pPr>
      <w:r>
        <w:rPr>
          <w:iCs/>
          <w:i/>
        </w:rPr>
        <w:t xml:space="preserve">This guideline overrides section</w:t>
      </w:r>
      <w:r>
        <w:rPr>
          <w:iCs/>
          <w:i/>
        </w:rPr>
        <w:t xml:space="preserve"> </w:t>
      </w:r>
      <w:hyperlink r:id="rId53">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Each BBF YANG module or submodule MUST be stored within a BBF YANG repository in a file called &lt;module-name&gt;.yang or &lt;submodule-name&gt;.yang without revision-date in the name.</w:t>
      </w:r>
    </w:p>
    <w:bookmarkEnd w:id="54"/>
    <w:bookmarkStart w:id="56" w:name="sec:ietf-5-quoting"/>
    <w:p>
      <w:pPr>
        <w:pStyle w:val="Heading3"/>
      </w:pPr>
      <w:r>
        <w:t xml:space="preserve">IETF-5: Quoting</w:t>
      </w:r>
    </w:p>
    <w:p>
      <w:pPr>
        <w:pStyle w:val="FirstParagraph"/>
      </w:pPr>
      <w:r>
        <w:rPr>
          <w:iCs/>
          <w:i/>
        </w:rPr>
        <w:t xml:space="preserve">This guideline is an extension to section</w:t>
      </w:r>
      <w:r>
        <w:rPr>
          <w:iCs/>
          <w:i/>
        </w:rPr>
        <w:t xml:space="preserve"> </w:t>
      </w:r>
      <w:hyperlink r:id="rId55">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6"/>
    <w:bookmarkStart w:id="58" w:name="sec:ietf-6-module-naming-conventions"/>
    <w:p>
      <w:pPr>
        <w:pStyle w:val="Heading3"/>
      </w:pPr>
      <w:r>
        <w:t xml:space="preserve">IETF-6: Module Naming Conventions</w:t>
      </w:r>
    </w:p>
    <w:p>
      <w:pPr>
        <w:pStyle w:val="FirstParagraph"/>
      </w:pPr>
      <w:r>
        <w:rPr>
          <w:iCs/>
          <w:i/>
        </w:rPr>
        <w:t xml:space="preserve">This guideline overrides section</w:t>
      </w:r>
      <w:r>
        <w:rPr>
          <w:iCs/>
          <w:i/>
        </w:rPr>
        <w:t xml:space="preserve"> </w:t>
      </w:r>
      <w:hyperlink r:id="rId57">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w:t>
      </w:r>
      <w:r>
        <w:t xml:space="preserve">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8"/>
    <w:bookmarkStart w:id="65" w:name="X6b1d9f9c38419ad118636afcc437f3f8656b382"/>
    <w:p>
      <w:pPr>
        <w:pStyle w:val="Heading3"/>
      </w:pPr>
      <w:r>
        <w:t xml:space="preserve">IETF-7: Module Header, Meta and Revision Statements</w:t>
      </w:r>
    </w:p>
    <w:p>
      <w:pPr>
        <w:pStyle w:val="FirstParagraph"/>
      </w:pPr>
      <w:r>
        <w:rPr>
          <w:iCs/>
          <w:i/>
        </w:rPr>
        <w:t xml:space="preserve">These guidelines override section</w:t>
      </w:r>
      <w:r>
        <w:rPr>
          <w:iCs/>
          <w:i/>
        </w:rPr>
        <w:t xml:space="preserve"> </w:t>
      </w:r>
      <w:hyperlink r:id="rId59">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bookmarkStart w:id="60" w:name="sec:namespace"/>
    <w:p>
      <w:pPr>
        <w:pStyle w:val="Heading4"/>
      </w:pPr>
      <w:r>
        <w:t xml:space="preserve">namespace</w:t>
      </w:r>
    </w:p>
    <w:p>
      <w:pPr>
        <w:pStyle w:val="FirstParagraph"/>
      </w:pPr>
      <w:r>
        <w:t xml:space="preserve">See IETF-9.</w:t>
      </w:r>
    </w:p>
    <w:bookmarkEnd w:id="60"/>
    <w:bookmarkStart w:id="61"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61"/>
    <w:bookmarkStart w:id="62"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&lt;mailto:help@broadband-forum.org&gt;.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62"/>
    <w:bookmarkStart w:id="63" w:name="sec:description"/>
    <w:p>
      <w:pPr>
        <w:pStyle w:val="Heading4"/>
      </w:pPr>
      <w:r>
        <w:t xml:space="preserve">description</w:t>
      </w:r>
    </w:p>
    <w:p>
      <w:pPr>
        <w:pStyle w:val="FirstParagraph"/>
      </w:pPr>
      <w:r>
        <w:t xml:space="preserve">See IETF-8.</w:t>
      </w:r>
    </w:p>
    <w:bookmarkEnd w:id="63"/>
    <w:bookmarkStart w:id="64" w:name="sec:revision"/>
    <w:p>
      <w:pPr>
        <w:pStyle w:val="Heading4"/>
      </w:pPr>
      <w:r>
        <w:t xml:space="preserve">revision</w:t>
      </w:r>
    </w:p>
    <w:p>
      <w:pPr>
        <w:pStyle w:val="FirstParagraph"/>
      </w:pPr>
      <w:r>
        <w:t xml:space="preserve">The guidelines from RFC 8407 apply with the following modifications:</w:t>
      </w:r>
    </w:p>
    <w:p>
      <w:pPr>
        <w:numPr>
          <w:ilvl w:val="0"/>
          <w:numId w:val="1006"/>
        </w:numPr>
        <w:pStyle w:val="Compact"/>
      </w:pPr>
      <w:r>
        <w:t xml:space="preserve">The guidelines relating to the reference substatement are replaced with a guideline to reference the associated TR Issue, Amendment (if any) and Corrigendum.</w:t>
      </w:r>
    </w:p>
    <w:p>
      <w:pPr>
        <w:numPr>
          <w:ilvl w:val="0"/>
          <w:numId w:val="1006"/>
        </w:numPr>
        <w:pStyle w:val="Compact"/>
      </w:pPr>
      <w:r>
        <w:t xml:space="preserve">The guidelines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abbreviated</w:t>
      </w:r>
      <w:r>
        <w:t xml:space="preserve">”</w:t>
      </w:r>
      <w:r>
        <w:t xml:space="preserve"> </w:t>
      </w:r>
      <w:r>
        <w:t xml:space="preserve">TR names, e.g.,</w:t>
      </w:r>
      <w:r>
        <w:t xml:space="preserve"> </w:t>
      </w:r>
      <w:r>
        <w:t xml:space="preserve">“</w:t>
      </w:r>
      <w:r>
        <w:t xml:space="preserve">TR-101i2</w:t>
      </w:r>
      <w:r>
        <w:t xml:space="preserve">”</w:t>
      </w:r>
      <w:r>
        <w:t xml:space="preserve"> </w:t>
      </w:r>
      <w:r>
        <w:t xml:space="preserve">or</w:t>
      </w:r>
      <w:r>
        <w:t xml:space="preserve"> </w:t>
      </w:r>
      <w:r>
        <w:t xml:space="preserve">“</w:t>
      </w:r>
      <w:r>
        <w:t xml:space="preserve">TR-383a6</w:t>
      </w:r>
      <w:r>
        <w:t xml:space="preserve">”</w:t>
      </w:r>
      <w:r>
        <w:t xml:space="preserve">.</w:t>
      </w:r>
    </w:p>
    <w:bookmarkEnd w:id="64"/>
    <w:bookmarkEnd w:id="65"/>
    <w:bookmarkStart w:id="66" w:name="X08b3505cb90c3b604f08700e4b6751d9d44e4a3"/>
    <w:p>
      <w:pPr>
        <w:pStyle w:val="Heading3"/>
      </w:pPr>
      <w:r>
        <w:t xml:space="preserve">IETF-8: Module Header, Meta and Revision Statements - Top Level Description</w:t>
      </w:r>
    </w:p>
    <w:p>
      <w:pPr>
        <w:pStyle w:val="FirstParagraph"/>
      </w:pPr>
      <w:r>
        <w:rPr>
          <w:iCs/>
          <w:i/>
        </w:rPr>
        <w:t xml:space="preserve">This guideline overrides section</w:t>
      </w:r>
      <w:r>
        <w:rPr>
          <w:iCs/>
          <w:i/>
        </w:rPr>
        <w:t xml:space="preserve"> </w:t>
      </w:r>
      <w:hyperlink r:id="rId59">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6"/>
    <w:bookmarkStart w:id="68" w:name="sec:ietf-9-namespace-assignments"/>
    <w:p>
      <w:pPr>
        <w:pStyle w:val="Heading3"/>
      </w:pPr>
      <w:r>
        <w:t xml:space="preserve">IETF-9: Namespace Assignments</w:t>
      </w:r>
    </w:p>
    <w:p>
      <w:pPr>
        <w:pStyle w:val="FirstParagraph"/>
      </w:pPr>
      <w:r>
        <w:rPr>
          <w:iCs/>
          <w:i/>
        </w:rPr>
        <w:t xml:space="preserve">This guideline overrides section</w:t>
      </w:r>
      <w:r>
        <w:rPr>
          <w:iCs/>
          <w:i/>
        </w:rPr>
        <w:t xml:space="preserve"> </w:t>
      </w:r>
      <w:hyperlink r:id="rId67">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Section 4.9 applies with appropriate translations of IETF terms to BBF terms, e.g.,</w:t>
      </w:r>
      <w:r>
        <w:t xml:space="preserve">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8"/>
    <w:bookmarkStart w:id="70" w:name="sec:ietf-10-prefixes---imported-modules"/>
    <w:p>
      <w:pPr>
        <w:pStyle w:val="Heading3"/>
      </w:pPr>
      <w:r>
        <w:t xml:space="preserve">IETF-10: Prefixes - Imported Modules</w:t>
      </w:r>
    </w:p>
    <w:p>
      <w:pPr>
        <w:pStyle w:val="FirstParagraph"/>
      </w:pPr>
      <w:r>
        <w:rPr>
          <w:iCs/>
          <w:i/>
        </w:rPr>
        <w:t xml:space="preserve">This guideline extends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70"/>
    <w:bookmarkStart w:id="72" w:name="sec:ietf-11-prefixes---usage"/>
    <w:p>
      <w:pPr>
        <w:pStyle w:val="Heading3"/>
      </w:pPr>
      <w:r>
        <w:t xml:space="preserve">IETF-11: Prefixes - Usage</w:t>
      </w:r>
    </w:p>
    <w:p>
      <w:pPr>
        <w:pStyle w:val="FirstParagraph"/>
      </w:pPr>
      <w:r>
        <w:rPr>
          <w:iCs/>
          <w:i/>
        </w:rPr>
        <w:t xml:space="preserve">These guidelines restate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 where the prefix is optional per section</w:t>
      </w:r>
      <w:r>
        <w:t xml:space="preserve"> </w:t>
      </w:r>
      <w:hyperlink r:id="rId71">
        <w:r>
          <w:rPr>
            <w:rStyle w:val="Hyperlink"/>
          </w:rPr>
          <w:t xml:space="preserve">5.1</w:t>
        </w:r>
      </w:hyperlink>
      <w:r>
        <w:t xml:space="preserve"> </w:t>
      </w:r>
      <w:r>
        <w:t xml:space="preserve">of RFC 7950</w:t>
      </w:r>
      <w:r>
        <w:t xml:space="preserve"> </w:t>
      </w:r>
      <w:hyperlink w:anchor="ref-RFC7950">
        <w:r>
          <w:rPr>
            <w:rStyle w:val="Hyperlink"/>
          </w:rPr>
          <w:t xml:space="preserve">[3]</w:t>
        </w:r>
      </w:hyperlink>
      <w:r>
        <w:t xml:space="preserve">.</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72"/>
    <w:bookmarkStart w:id="74"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73">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74"/>
    <w:bookmarkStart w:id="76"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5">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6"/>
    <w:bookmarkStart w:id="78"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7">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w:t>
      </w:r>
      <w:r>
        <w:t xml:space="preserve"> </w:t>
      </w:r>
      <w:r>
        <w:t xml:space="preserve">‘</w:t>
      </w:r>
      <w:r>
        <w:t xml:space="preserve">when</w:t>
      </w:r>
      <w:r>
        <w:t xml:space="preserve">’</w:t>
      </w:r>
      <w:r>
        <w:t xml:space="preserve"> </w:t>
      </w:r>
      <w:r>
        <w:t xml:space="preserve">and/or</w:t>
      </w:r>
      <w:r>
        <w:t xml:space="preserve"> </w:t>
      </w:r>
      <w:r>
        <w:t xml:space="preserve">‘</w:t>
      </w:r>
      <w:r>
        <w:t xml:space="preserve">if-feature</w:t>
      </w:r>
      <w:r>
        <w:t xml:space="preserve">’</w:t>
      </w:r>
      <w:r>
        <w:t xml:space="preserve"> </w:t>
      </w:r>
      <w:r>
        <w:t xml:space="preserve">statements to each augment.</w:t>
      </w:r>
    </w:p>
    <w:bookmarkEnd w:id="78"/>
    <w:bookmarkStart w:id="80"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9">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80"/>
    <w:bookmarkStart w:id="82"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81">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BBF YANG modules MUST be written using only printable ASCII characters.</w:t>
      </w:r>
    </w:p>
    <w:bookmarkEnd w:id="82"/>
    <w:bookmarkStart w:id="83"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83"/>
    <w:bookmarkStart w:id="85"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guideline overrides section</w:t>
      </w:r>
      <w:r>
        <w:rPr>
          <w:iCs/>
          <w:i/>
        </w:rPr>
        <w:t xml:space="preserve"> </w:t>
      </w:r>
      <w:hyperlink r:id="rId84">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5"/>
    <w:bookmarkStart w:id="87"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guideline overrides section</w:t>
      </w:r>
      <w:r>
        <w:rPr>
          <w:iCs/>
          <w:i/>
        </w:rPr>
        <w:t xml:space="preserve"> </w:t>
      </w:r>
      <w:hyperlink r:id="rId86">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Not everyone reading a YANG model is an expert in YANG and/or XPath. In order to provide assistence in understanding the intent, all</w:t>
      </w:r>
      <w:r>
        <w:t xml:space="preserve"> </w:t>
      </w:r>
      <w:r>
        <w:t xml:space="preserve">‘</w:t>
      </w:r>
      <w:r>
        <w:t xml:space="preserve">must</w:t>
      </w:r>
      <w:r>
        <w:t xml:space="preserve">’</w:t>
      </w:r>
      <w:r>
        <w:t xml:space="preserve"> </w:t>
      </w:r>
      <w:r>
        <w:t xml:space="preserve">statements SHALL contain a description statement. This description should convey the intent of the</w:t>
      </w:r>
      <w:r>
        <w:t xml:space="preserve"> </w:t>
      </w:r>
      <w:r>
        <w:t xml:space="preserve">‘</w:t>
      </w:r>
      <w:r>
        <w:t xml:space="preserve">must</w:t>
      </w:r>
      <w:r>
        <w:t xml:space="preserve">’</w:t>
      </w:r>
      <w:r>
        <w:t xml:space="preserve"> </w:t>
      </w:r>
      <w:r>
        <w:t xml:space="preserve">condition in easy to understand language.</w:t>
      </w:r>
    </w:p>
    <w:bookmarkEnd w:id="87"/>
    <w:bookmarkStart w:id="88" w:name="sec:ietf-20-tabs-and-spacing"/>
    <w:p>
      <w:pPr>
        <w:pStyle w:val="Heading3"/>
      </w:pPr>
      <w:r>
        <w:t xml:space="preserve">IETF-20: Tabs and Spacing</w:t>
      </w:r>
    </w:p>
    <w:p>
      <w:pPr>
        <w:pStyle w:val="FirstParagraph"/>
      </w:pPr>
      <w:r>
        <w:rPr>
          <w:iCs/>
          <w:i/>
        </w:rPr>
        <w:t xml:space="preserve">This guideline is an extension to section</w:t>
      </w:r>
      <w:r>
        <w:rPr>
          <w:iCs/>
          <w:i/>
        </w:rPr>
        <w:t xml:space="preserve"> </w:t>
      </w:r>
      <w:hyperlink r:id="rId55">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BBF YANG modules MUST NOT contain any tab characters and MUST use 2 space characters for indentation.</w:t>
      </w:r>
    </w:p>
    <w:bookmarkEnd w:id="88"/>
    <w:bookmarkStart w:id="90" w:name="sec:ietf-21-normative-language"/>
    <w:p>
      <w:pPr>
        <w:pStyle w:val="Heading3"/>
      </w:pPr>
      <w:r>
        <w:t xml:space="preserve">IETF-21: Normative Language</w:t>
      </w:r>
    </w:p>
    <w:p>
      <w:pPr>
        <w:pStyle w:val="FirstParagraph"/>
      </w:pPr>
      <w:r>
        <w:rPr>
          <w:iCs/>
          <w:i/>
        </w:rPr>
        <w:t xml:space="preserve">This guideline clarifies section</w:t>
      </w:r>
      <w:r>
        <w:rPr>
          <w:iCs/>
          <w:i/>
        </w:rPr>
        <w:t xml:space="preserve"> </w:t>
      </w:r>
      <w:hyperlink r:id="rId89">
        <w:r>
          <w:rPr>
            <w:rStyle w:val="Hyperlink"/>
            <w:iCs/>
            <w:i/>
          </w:rPr>
          <w:t xml:space="preserve">3.6</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SHALL NOT use normative keywords in their description statements as defined in RFC 2119</w:t>
      </w:r>
      <w:r>
        <w:t xml:space="preserve"> </w:t>
      </w:r>
      <w:hyperlink w:anchor="ref-RFC2119">
        <w:r>
          <w:rPr>
            <w:rStyle w:val="Hyperlink"/>
          </w:rPr>
          <w:t xml:space="preserve">[1]</w:t>
        </w:r>
      </w:hyperlink>
      <w:r>
        <w:t xml:space="preserve"> </w:t>
      </w:r>
      <w:r>
        <w:t xml:space="preserve">and clarified in RFC 8174</w:t>
      </w:r>
      <w:r>
        <w:t xml:space="preserve"> </w:t>
      </w:r>
      <w:hyperlink w:anchor="ref-RFC8174">
        <w:r>
          <w:rPr>
            <w:rStyle w:val="Hyperlink"/>
          </w:rPr>
          <w:t xml:space="preserve">[4]</w:t>
        </w:r>
      </w:hyperlink>
      <w:r>
        <w:t xml:space="preserve">. Explicitly, this means avoiding the use of the keywords in all capital letters, e.g., MUST, SHOULD, SHALL, etc.</w:t>
      </w:r>
    </w:p>
    <w:p>
      <w:pPr>
        <w:pStyle w:val="BodyText"/>
      </w:pPr>
      <w:r>
        <w:t xml:space="preserve">This does not apply to the license text included as part of each top-level module description.</w:t>
      </w:r>
    </w:p>
    <w:bookmarkEnd w:id="90"/>
    <w:bookmarkStart w:id="92" w:name="sec:ietf-22-leafref-path-in-a-grouping"/>
    <w:p>
      <w:pPr>
        <w:pStyle w:val="Heading3"/>
      </w:pPr>
      <w:r>
        <w:t xml:space="preserve">IETF-22:</w:t>
      </w:r>
      <w:r>
        <w:t xml:space="preserve"> </w:t>
      </w:r>
      <w:r>
        <w:t xml:space="preserve">‘</w:t>
      </w:r>
      <w:r>
        <w:t xml:space="preserve">leafref</w:t>
      </w:r>
      <w:r>
        <w:t xml:space="preserve">’</w:t>
      </w:r>
      <w:r>
        <w:t xml:space="preserve"> </w:t>
      </w:r>
      <w:r>
        <w:t xml:space="preserve">path in a</w:t>
      </w:r>
      <w:r>
        <w:t xml:space="preserve"> </w:t>
      </w:r>
      <w:r>
        <w:t xml:space="preserve">‘</w:t>
      </w:r>
      <w:r>
        <w:t xml:space="preserve">grouping</w:t>
      </w:r>
      <w:r>
        <w:t xml:space="preserve">’</w:t>
      </w:r>
    </w:p>
    <w:p>
      <w:pPr>
        <w:pStyle w:val="FirstParagraph"/>
      </w:pPr>
      <w:r>
        <w:rPr>
          <w:iCs/>
          <w:i/>
        </w:rPr>
        <w:t xml:space="preserve">The following extends section</w:t>
      </w:r>
      <w:r>
        <w:rPr>
          <w:iCs/>
          <w:i/>
        </w:rPr>
        <w:t xml:space="preserve"> </w:t>
      </w:r>
      <w:hyperlink r:id="rId91">
        <w:r>
          <w:rPr>
            <w:rStyle w:val="Hyperlink"/>
            <w:iCs/>
            <w:i/>
          </w:rPr>
          <w:t xml:space="preserve">4.13</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When defined in a</w:t>
      </w:r>
      <w:r>
        <w:t xml:space="preserve"> </w:t>
      </w:r>
      <w:r>
        <w:t xml:space="preserve">‘</w:t>
      </w:r>
      <w:r>
        <w:t xml:space="preserve">grouping</w:t>
      </w:r>
      <w:r>
        <w:t xml:space="preserve">’</w:t>
      </w:r>
      <w:r>
        <w:t xml:space="preserve">, a leaf or leaf-list of type</w:t>
      </w:r>
      <w:r>
        <w:t xml:space="preserve"> </w:t>
      </w:r>
      <w:r>
        <w:t xml:space="preserve">‘</w:t>
      </w:r>
      <w:r>
        <w:t xml:space="preserve">leafref</w:t>
      </w:r>
      <w:r>
        <w:t xml:space="preserve">’</w:t>
      </w:r>
      <w:r>
        <w:t xml:space="preserve"> </w:t>
      </w:r>
      <w:r>
        <w:t xml:space="preserve">MUST NOT specify a path using a relative XPath statement to a node that exists outside the grouping. Referencing nodes outside of a grouping makes assumptions about where within a schema tree the grouping is to be used and thus limits the reusability of the grouping.</w:t>
      </w:r>
    </w:p>
    <w:p>
      <w:pPr>
        <w:pStyle w:val="BodyText"/>
      </w:pPr>
      <w:r>
        <w:t xml:space="preserve">The following example violates this guideline because the leaf</w:t>
      </w:r>
      <w:r>
        <w:t xml:space="preserve"> </w:t>
      </w:r>
      <w:r>
        <w:t xml:space="preserve">‘</w:t>
      </w:r>
      <w:r>
        <w:t xml:space="preserve">profile-ref</w:t>
      </w:r>
      <w:r>
        <w:t xml:space="preserve">’</w:t>
      </w:r>
      <w:r>
        <w:t xml:space="preserve"> </w:t>
      </w:r>
      <w:r>
        <w:t xml:space="preserve">is referencing the leaf</w:t>
      </w:r>
      <w:r>
        <w:t xml:space="preserve"> </w:t>
      </w:r>
      <w:r>
        <w:t xml:space="preserve">‘</w:t>
      </w:r>
      <w:r>
        <w:t xml:space="preserve">name</w:t>
      </w:r>
      <w:r>
        <w:t xml:space="preserve">’</w:t>
      </w:r>
      <w:r>
        <w:t xml:space="preserve"> </w:t>
      </w:r>
      <w:r>
        <w:t xml:space="preserve">that exists outside of the</w:t>
      </w:r>
      <w:r>
        <w:t xml:space="preserve"> </w:t>
      </w:r>
      <w:r>
        <w:t xml:space="preserve">‘</w:t>
      </w:r>
      <w:r>
        <w:t xml:space="preserve">grouping</w:t>
      </w:r>
      <w:r>
        <w:t xml:space="preserve">’</w:t>
      </w:r>
      <w:r>
        <w:t xml:space="preserve"> </w:t>
      </w:r>
      <w:r>
        <w:t xml:space="preserve">statement. For this path to be valid, the grouping has to be used in a schema where the data node hierarchy, specified in the</w:t>
      </w:r>
      <w:r>
        <w:t xml:space="preserve"> </w:t>
      </w:r>
      <w:r>
        <w:t xml:space="preserve">‘</w:t>
      </w:r>
      <w:r>
        <w:t xml:space="preserve">path</w:t>
      </w:r>
      <w:r>
        <w:t xml:space="preserve">’</w:t>
      </w:r>
      <w:r>
        <w:t xml:space="preserve">, exists.</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w:t>
      </w:r>
    </w:p>
    <w:p>
      <w:pPr>
        <w:pStyle w:val="FirstParagraph"/>
      </w:pPr>
      <w:r>
        <w:t xml:space="preserve">The next example demonstrates the use of a relative path to a node within the grouping, which does not violate the guideline.</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  </w:t>
      </w:r>
      <w:r>
        <w:br/>
      </w:r>
      <w:r>
        <w:rPr>
          <w:rStyle w:val="VerbatimChar"/>
        </w:rPr>
        <w:t xml:space="preserve">  container profiles {</w:t>
      </w:r>
      <w:r>
        <w:br/>
      </w:r>
      <w:r>
        <w:rPr>
          <w:rStyle w:val="VerbatimChar"/>
        </w:rPr>
        <w:t xml:space="preserve">    description</w:t>
      </w:r>
      <w:r>
        <w:br/>
      </w:r>
      <w:r>
        <w:rPr>
          <w:rStyle w:val="VerbatimChar"/>
        </w:rPr>
        <w:t xml:space="preserve">      "Configuration associated with profiles.";</w:t>
      </w:r>
      <w:r>
        <w:br/>
      </w:r>
      <w:r>
        <w:rPr>
          <w:rStyle w:val="VerbatimChar"/>
        </w:rPr>
        <w:t xml:space="preserve">    </w:t>
      </w:r>
      <w:r>
        <w:br/>
      </w:r>
      <w:r>
        <w:rPr>
          <w:rStyle w:val="VerbatimChar"/>
        </w:rPr>
        <w:t xml:space="preserve">    list profile {</w:t>
      </w:r>
      <w:r>
        <w:br/>
      </w:r>
      <w:r>
        <w:rPr>
          <w:rStyle w:val="VerbatimChar"/>
        </w:rPr>
        <w:t xml:space="preserve">      key name;</w:t>
      </w:r>
      <w:r>
        <w:br/>
      </w:r>
      <w:r>
        <w:rPr>
          <w:rStyle w:val="VerbatimChar"/>
        </w:rPr>
        <w:t xml:space="preserve">      description</w:t>
      </w:r>
      <w:r>
        <w:br/>
      </w:r>
      <w:r>
        <w:rPr>
          <w:rStyle w:val="VerbatimChar"/>
        </w:rPr>
        <w:t xml:space="preserve">        "A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2"/>
    <w:bookmarkEnd w:id="93"/>
    <w:bookmarkStart w:id="132"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94"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MUST reference the standard models which</w:t>
      </w:r>
      <w:r>
        <w:t xml:space="preserve"> </w:t>
      </w:r>
      <w:r>
        <w:t xml:space="preserve">are applicable.</w:t>
      </w:r>
    </w:p>
    <w:bookmarkEnd w:id="94"/>
    <w:bookmarkStart w:id="95" w:name="sec:bbf-2-line-length"/>
    <w:p>
      <w:pPr>
        <w:pStyle w:val="Heading3"/>
      </w:pPr>
      <w:r>
        <w:t xml:space="preserve">BBF-2: Line Length</w:t>
      </w:r>
    </w:p>
    <w:p>
      <w:pPr>
        <w:pStyle w:val="FirstParagraph"/>
      </w:pPr>
      <w:r>
        <w:t xml:space="preserve">The length of each line of text in a YANG module MUST not exceed 70 characters.</w:t>
      </w:r>
    </w:p>
    <w:bookmarkEnd w:id="95"/>
    <w:bookmarkStart w:id="96"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96"/>
    <w:bookmarkStart w:id="97"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97"/>
    <w:bookmarkStart w:id="98"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w:t>
      </w:r>
      <w:r>
        <w:t xml:space="preserve"> </w:t>
      </w:r>
      <w:hyperlink w:anchor="sec:bbf-25-reference-statements">
        <w:r>
          <w:rPr>
            <w:rStyle w:val="Hyperlink"/>
          </w:rPr>
          <w:t xml:space="preserve">reference statements</w:t>
        </w:r>
      </w:hyperlink>
      <w:r>
        <w:t xml:space="preserve"> </w:t>
      </w:r>
      <w:r>
        <w:t xml:space="preserve">need not meet this requirement and do not need to terminate with a period.</w:t>
      </w:r>
    </w:p>
    <w:bookmarkEnd w:id="98"/>
    <w:bookmarkStart w:id="99"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w:t>
      </w:r>
      <w:r>
        <w:t xml:space="preserve"> </w:t>
      </w:r>
      <w:r>
        <w:t xml:space="preserve">“</w:t>
      </w:r>
      <w:r>
        <w:t xml:space="preserve">undetermined</w:t>
      </w:r>
      <w:r>
        <w:t xml:space="preserve">”</w:t>
      </w:r>
      <w:r>
        <w:t xml:space="preserve"> </w:t>
      </w:r>
      <w:r>
        <w:t xml:space="preserve">refers to a value which is undetermined.</w:t>
      </w:r>
    </w:p>
    <w:bookmarkEnd w:id="99"/>
    <w:bookmarkStart w:id="100"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100"/>
    <w:bookmarkStart w:id="101" w:name="sec:bbf-8-revision-statements"/>
    <w:p>
      <w:pPr>
        <w:pStyle w:val="Heading3"/>
      </w:pPr>
      <w:r>
        <w:t xml:space="preserve">BBF-8: Revision Statements</w:t>
      </w:r>
    </w:p>
    <w:p>
      <w:pPr>
        <w:pStyle w:val="FirstParagraph"/>
      </w:pPr>
      <w:r>
        <w:t xml:space="preserve">Superseded by BBF-15.</w:t>
      </w:r>
    </w:p>
    <w:bookmarkEnd w:id="101"/>
    <w:bookmarkStart w:id="102"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or practical to use formal YANG modeling to convey the requirement.</w:t>
      </w:r>
    </w:p>
    <w:p>
      <w:pPr>
        <w:pStyle w:val="BodyText"/>
      </w:pPr>
      <w:r>
        <w:t xml:space="preserve">Example:</w:t>
      </w:r>
    </w:p>
    <w:p>
      <w:pPr>
        <w:pStyle w:val="SourceCode"/>
      </w:pPr>
      <w:r>
        <w:rPr>
          <w:rStyle w:val="VerbatimChar"/>
        </w:rPr>
        <w:t xml:space="preserve">  leaf forwarder {</w:t>
      </w:r>
      <w:r>
        <w:br/>
      </w:r>
      <w:r>
        <w:rPr>
          <w:rStyle w:val="VerbatimChar"/>
        </w:rPr>
        <w:t xml:space="preserve">    type bbf-l2-fwd:forwarder-ref;</w:t>
      </w:r>
      <w:r>
        <w:br/>
      </w:r>
      <w:r>
        <w:rPr>
          <w:rStyle w:val="VerbatimChar"/>
        </w:rPr>
        <w:t xml:space="preserve">    description</w:t>
      </w:r>
      <w:r>
        <w:br/>
      </w:r>
      <w:r>
        <w:rPr>
          <w:rStyle w:val="VerbatimChar"/>
        </w:rPr>
        <w:t xml:space="preserve">      "A reference to a forwarder.</w:t>
      </w:r>
      <w:r>
        <w:br/>
      </w:r>
      <w:r>
        <w:br/>
      </w:r>
      <w:r>
        <w:rPr>
          <w:rStyle w:val="VerbatimChar"/>
        </w:rPr>
        <w:t xml:space="preserve">       The following is a constraint that could not be captured in</w:t>
      </w:r>
      <w:r>
        <w:br/>
      </w:r>
      <w:r>
        <w:rPr>
          <w:rStyle w:val="VerbatimChar"/>
        </w:rPr>
        <w:t xml:space="preserve">       YANG: multiple Maintenance Groups referencing the same</w:t>
      </w:r>
      <w:r>
        <w:br/>
      </w:r>
      <w:r>
        <w:rPr>
          <w:rStyle w:val="VerbatimChar"/>
        </w:rPr>
        <w:t xml:space="preserve">       forwarder are allowed, but only if they have a different</w:t>
      </w:r>
      <w:r>
        <w:br/>
      </w:r>
      <w:r>
        <w:rPr>
          <w:rStyle w:val="VerbatimChar"/>
        </w:rPr>
        <w:t xml:space="preserve">       level.</w:t>
      </w:r>
      <w:r>
        <w:br/>
      </w:r>
      <w:r>
        <w:br/>
      </w:r>
      <w:r>
        <w:rPr>
          <w:rStyle w:val="VerbatimChar"/>
        </w:rPr>
        <w:t xml:space="preserve">       Note that there is no BBF requirement for multiple levels</w:t>
      </w:r>
      <w:r>
        <w:br/>
      </w:r>
      <w:r>
        <w:rPr>
          <w:rStyle w:val="VerbatimChar"/>
        </w:rPr>
        <w:t xml:space="preserve">       with up-MEPs. Within BBF context multiple levels on a</w:t>
      </w:r>
      <w:r>
        <w:br/>
      </w:r>
      <w:r>
        <w:rPr>
          <w:rStyle w:val="VerbatimChar"/>
        </w:rPr>
        <w:t xml:space="preserve">       forwarder go together with one level using up-MEPs and a</w:t>
      </w:r>
      <w:r>
        <w:br/>
      </w:r>
      <w:r>
        <w:rPr>
          <w:rStyle w:val="VerbatimChar"/>
        </w:rPr>
        <w:t xml:space="preserve">       higher level using MIPs.";</w:t>
      </w:r>
      <w:r>
        <w:br/>
      </w:r>
      <w:r>
        <w:rPr>
          <w:rStyle w:val="VerbatimChar"/>
        </w:rPr>
        <w:t xml:space="preserve">  }</w:t>
      </w:r>
    </w:p>
    <w:bookmarkEnd w:id="102"/>
    <w:bookmarkStart w:id="103" w:name="Xc8822cf271b3ba3489c4f60b5f40bba4bb3e20d"/>
    <w:p>
      <w:pPr>
        <w:pStyle w:val="Heading3"/>
      </w:pPr>
      <w:r>
        <w:t xml:space="preserve">BBF-10: Retroactive Application of OD-360 Guidelines</w:t>
      </w:r>
    </w:p>
    <w:p>
      <w:pPr>
        <w:pStyle w:val="FirstParagraph"/>
      </w:pPr>
      <w:r>
        <w:t xml:space="preserve">OD-360 guidelines MAY be retroactively applied to published BBF YANG modules but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103"/>
    <w:bookmarkStart w:id="104"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w:t>
      </w:r>
      <w:r>
        <w:t xml:space="preserve"> </w:t>
      </w:r>
      <w:r>
        <w:t xml:space="preserve">‘</w:t>
      </w:r>
      <w:r>
        <w:t xml:space="preserve">target-margin</w:t>
      </w:r>
      <w:r>
        <w:t xml:space="preserve">’</w:t>
      </w:r>
      <w:r>
        <w:t xml:space="preserve">.</w:t>
      </w:r>
    </w:p>
    <w:bookmarkEnd w:id="104"/>
    <w:bookmarkStart w:id="105"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105"/>
    <w:bookmarkStart w:id="106"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abbreviation in a description statement SHOULD have its meaning clearly conveyed.</w:t>
      </w:r>
    </w:p>
    <w:bookmarkEnd w:id="106"/>
    <w:bookmarkStart w:id="107" w:name="X365a74e662931a7eefdfcf499af0597b5ba63d7"/>
    <w:p>
      <w:pPr>
        <w:pStyle w:val="Heading3"/>
      </w:pPr>
      <w:r>
        <w:t xml:space="preserve">BBF-14: Creating and/or Extending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as required, or not formulated at all, for the specific use case in a Broadband Forum Technical Report or a standard published by another SDO</w:t>
      </w:r>
      <w:r>
        <w:t xml:space="preserve">:</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Technical Report. However, that should not hold up putting the requirement in the YANG model. In other words, if the Work Area agrees that something should be added in a BBF YANG model, then we do not need to wait until the requirement is captured in a Technical Report.</w:t>
      </w:r>
    </w:p>
    <w:p>
      <w:pPr>
        <w:numPr>
          <w:ilvl w:val="1"/>
          <w:numId w:val="1011"/>
        </w:numPr>
      </w:pPr>
      <w:r>
        <w:t xml:space="preserve">The new requirement must not deviate from any existing requirements in BBF Technical Reports.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107"/>
    <w:bookmarkStart w:id="111"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8"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 with correct copyright year(s).</w:t>
      </w:r>
    </w:p>
    <w:bookmarkEnd w:id="108"/>
    <w:bookmarkStart w:id="109"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 with correct copyright year(s).</w:t>
      </w:r>
    </w:p>
    <w:bookmarkEnd w:id="109"/>
    <w:bookmarkStart w:id="110"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10"/>
    <w:bookmarkEnd w:id="111"/>
    <w:bookmarkStart w:id="112" w:name="sec:bbf-16-enum-naming"/>
    <w:p>
      <w:pPr>
        <w:pStyle w:val="Heading3"/>
      </w:pPr>
      <w:r>
        <w:t xml:space="preserve">BBF-16: Enum Naming</w:t>
      </w:r>
    </w:p>
    <w:p>
      <w:pPr>
        <w:pStyle w:val="FirstParagraph"/>
      </w:pPr>
      <w:r>
        <w:t xml:space="preserve">All enums in an enumeration SHOULD be named using names that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2"/>
    <w:bookmarkStart w:id="113"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t xml:space="preserve">The</w:t>
      </w:r>
      <w:r>
        <w:t xml:space="preserve"> </w:t>
      </w:r>
      <w:r>
        <w:t xml:space="preserve">‘</w:t>
      </w:r>
      <w:r>
        <w:t xml:space="preserve">value</w:t>
      </w:r>
      <w:r>
        <w:t xml:space="preserve">’</w:t>
      </w:r>
      <w:r>
        <w:t xml:space="preserve"> </w:t>
      </w:r>
      <w:r>
        <w:t xml:space="preserve">carries no meaning via NETCONF nor RESTCONF but is used for an implementation and reference aid.</w:t>
      </w:r>
    </w:p>
    <w:p>
      <w:pPr>
        <w:pStyle w:val="BodyText"/>
      </w:pPr>
      <w:r>
        <w:t xml:space="preserve">For an enumeration whose underlying values are 0..n, the</w:t>
      </w:r>
      <w:r>
        <w:t xml:space="preserve"> </w:t>
      </w:r>
      <w:r>
        <w:t xml:space="preserve">‘</w:t>
      </w:r>
      <w:r>
        <w:t xml:space="preserve">value</w:t>
      </w:r>
      <w:r>
        <w:t xml:space="preserve">’</w:t>
      </w:r>
      <w:r>
        <w:t xml:space="preserve"> </w:t>
      </w:r>
      <w: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3"/>
    <w:bookmarkStart w:id="114"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yang-version 1.1;</w:t>
      </w:r>
      <w:r>
        <w:br/>
      </w:r>
      <w:r>
        <w:rPr>
          <w:rStyle w:val="VerbatimChar"/>
        </w:rPr>
        <w:t xml:space="preserve">    namespace "urn:bbf:yang:bbf-availability";</w:t>
      </w:r>
      <w:r>
        <w:br/>
      </w:r>
      <w:r>
        <w:rPr>
          <w:rStyle w:val="VerbatimChar"/>
        </w:rPr>
        <w:t xml:space="preserve">    prefix bbf-avail;</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14"/>
    <w:bookmarkStart w:id="117"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15">
        <w:r>
          <w:rPr>
            <w:rStyle w:val="Hyperlink"/>
            <w:iCs/>
            <w:i/>
          </w:rPr>
          <w:t xml:space="preserve">7.9.3</w:t>
        </w:r>
      </w:hyperlink>
      <w:r>
        <w:rPr>
          <w:iCs/>
          <w:i/>
        </w:rPr>
        <w:t xml:space="preserve"> </w:t>
      </w:r>
      <w:r>
        <w:rPr>
          <w:iCs/>
          <w:i/>
        </w:rPr>
        <w:t xml:space="preserve">and section</w:t>
      </w:r>
      <w:r>
        <w:rPr>
          <w:iCs/>
          <w:i/>
        </w:rPr>
        <w:t xml:space="preserve"> </w:t>
      </w:r>
      <w:hyperlink r:id="rId116">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 default case of a choice statement MUST not contain a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 &lt;edit-config&gt; 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17"/>
    <w:bookmarkStart w:id="118"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[3]</w:t>
        </w:r>
      </w:hyperlink>
      <w:r>
        <w:t xml:space="preserve">, section</w:t>
      </w:r>
      <w:r>
        <w:t xml:space="preserve"> </w:t>
      </w:r>
      <w:hyperlink r:id="rId55">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 either</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or</w:t>
      </w:r>
    </w:p>
    <w:p>
      <w:pPr>
        <w:pStyle w:val="SourceCode"/>
      </w:pPr>
      <w:r>
        <w:rPr>
          <w:rStyle w:val="VerbatimChar"/>
        </w:rPr>
        <w:t xml:space="preserve">&lt;error-message&gt;The name of a multicast interface to host can notbe the name of a multicast network interface.&lt;/error-message&gt;</w:t>
      </w:r>
    </w:p>
    <w:p>
      <w:pPr>
        <w:pStyle w:val="FirstParagraph"/>
      </w:pPr>
      <w:r>
        <w:t xml:space="preserve">depending on how the system interprets a new line.</w:t>
      </w:r>
    </w:p>
    <w:p>
      <w:pPr>
        <w:pStyle w:val="BodyText"/>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8"/>
    <w:bookmarkStart w:id="119" w:name="X4dec392c9843aa4f569c2015eb960eb0d83ae6b"/>
    <w:p>
      <w:pPr>
        <w:pStyle w:val="Heading3"/>
      </w:pPr>
      <w:r>
        <w:t xml:space="preserve">BBF-21: Deprecating and Obsoleting Data Nodes</w:t>
      </w:r>
    </w:p>
    <w:p>
      <w:pPr>
        <w:pStyle w:val="FirstParagraph"/>
      </w:pPr>
      <w:r>
        <w:t xml:space="preserve">There are times when the need arises to migrate away from using previously published data nodes:</w:t>
      </w:r>
    </w:p>
    <w:p>
      <w:pPr>
        <w:numPr>
          <w:ilvl w:val="0"/>
          <w:numId w:val="1016"/>
        </w:numPr>
        <w:pStyle w:val="Compact"/>
      </w:pPr>
      <w:r>
        <w:t xml:space="preserve">A newer, possibly more efficient, method has been defined.</w:t>
      </w:r>
    </w:p>
    <w:p>
      <w:pPr>
        <w:numPr>
          <w:ilvl w:val="0"/>
          <w:numId w:val="1016"/>
        </w:numPr>
        <w:pStyle w:val="Compact"/>
      </w:pPr>
      <w:r>
        <w:t xml:space="preserve">Error(s) existing in the current definition that cannot be resolved in a backward compatible way.</w:t>
      </w:r>
    </w:p>
    <w:p>
      <w:pPr>
        <w:numPr>
          <w:ilvl w:val="0"/>
          <w:numId w:val="1016"/>
        </w:numPr>
        <w:pStyle w:val="Compact"/>
      </w:pPr>
      <w:r>
        <w:t xml:space="preserve">Data nodes were unnecessary or modeled by mistake, and there is no need to maintain or replace them.</w:t>
      </w:r>
    </w:p>
    <w:p>
      <w:pPr>
        <w:pStyle w:val="FirstParagraph"/>
      </w:pPr>
      <w:r>
        <w:t xml:space="preserve">The process for this is as follows:</w:t>
      </w:r>
    </w:p>
    <w:p>
      <w:pPr>
        <w:numPr>
          <w:ilvl w:val="0"/>
          <w:numId w:val="1017"/>
        </w:numPr>
        <w:pStyle w:val="Compact"/>
      </w:pPr>
      <w:r>
        <w:t xml:space="preserve">Change the status of the applicable data nodes from</w:t>
      </w:r>
      <w:r>
        <w:t xml:space="preserve"> </w:t>
      </w:r>
      <w:r>
        <w:t xml:space="preserve">“</w:t>
      </w:r>
      <w:r>
        <w:t xml:space="preserve">current</w:t>
      </w:r>
      <w:r>
        <w:t xml:space="preserve">”</w:t>
      </w:r>
      <w:r>
        <w:t xml:space="preserve"> </w:t>
      </w:r>
      <w:r>
        <w:t xml:space="preserve">to</w:t>
      </w:r>
      <w:r>
        <w:t xml:space="preserve"> </w:t>
      </w:r>
      <w:r>
        <w:t xml:space="preserve">“</w:t>
      </w:r>
      <w:r>
        <w:t xml:space="preserve">deprecated</w:t>
      </w:r>
      <w:r>
        <w:t xml:space="preserve">”</w:t>
      </w:r>
      <w:r>
        <w:t xml:space="preserve"> </w:t>
      </w:r>
      <w:r>
        <w:t xml:space="preserve">by adding a status statement with the value</w:t>
      </w:r>
      <w:r>
        <w:t xml:space="preserve"> </w:t>
      </w:r>
      <w:r>
        <w:t xml:space="preserve">“</w:t>
      </w:r>
      <w:r>
        <w:t xml:space="preserve">deprecated</w:t>
      </w:r>
      <w:r>
        <w:t xml:space="preserve">”</w:t>
      </w:r>
      <w:r>
        <w:t xml:space="preserve">.</w:t>
      </w:r>
    </w:p>
    <w:p>
      <w:pPr>
        <w:numPr>
          <w:ilvl w:val="0"/>
          <w:numId w:val="1017"/>
        </w:numPr>
        <w:pStyle w:val="Compact"/>
      </w:pPr>
      <w:r>
        <w:t xml:space="preserve">The deprecated data nodes MUST remain in this state for at least two years.</w:t>
      </w:r>
    </w:p>
    <w:p>
      <w:pPr>
        <w:numPr>
          <w:ilvl w:val="0"/>
          <w:numId w:val="1017"/>
        </w:numPr>
        <w:pStyle w:val="Compact"/>
      </w:pPr>
      <w:r>
        <w:t xml:space="preserve">Beginning with the next publication after at least two years, the data nodes MAY be transitioned from</w:t>
      </w:r>
      <w:r>
        <w:t xml:space="preserve"> </w:t>
      </w:r>
      <w:r>
        <w:t xml:space="preserve">“</w:t>
      </w:r>
      <w:r>
        <w:t xml:space="preserve">deprecated</w:t>
      </w:r>
      <w:r>
        <w:t xml:space="preserve">”</w:t>
      </w:r>
      <w:r>
        <w:t xml:space="preserve"> </w:t>
      </w:r>
      <w:r>
        <w:t xml:space="preserve">to</w:t>
      </w:r>
      <w:r>
        <w:t xml:space="preserve"> </w:t>
      </w:r>
      <w:r>
        <w:t xml:space="preserve">“</w:t>
      </w:r>
      <w:r>
        <w:t xml:space="preserve">obsolete</w:t>
      </w:r>
      <w:r>
        <w:t xml:space="preserve">”</w:t>
      </w:r>
      <w:r>
        <w:t xml:space="preserve">.</w:t>
      </w:r>
    </w:p>
    <w:p>
      <w:pPr>
        <w:numPr>
          <w:ilvl w:val="0"/>
          <w:numId w:val="1017"/>
        </w:numPr>
        <w:pStyle w:val="Compact"/>
      </w:pPr>
      <w:r>
        <w:t xml:space="preserve">The obsoleted data nodes MUST never be deleted from the YANG model.</w:t>
      </w:r>
    </w:p>
    <w:bookmarkEnd w:id="119"/>
    <w:bookmarkStart w:id="122" w:name="sec:bbf-22-backwards-compatibility"/>
    <w:p>
      <w:pPr>
        <w:pStyle w:val="Heading3"/>
      </w:pPr>
      <w:r>
        <w:t xml:space="preserve">BBF-22: Backwards Compatibility</w:t>
      </w:r>
    </w:p>
    <w:p>
      <w:pPr>
        <w:pStyle w:val="FirstParagraph"/>
      </w:pPr>
      <w:r>
        <w:t xml:space="preserve">In general, BBF YANG modules SHOULD NOT introduce changes that are defined as backwards incompatible per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Instead, add new definitions and use methods of deprecating and obsoleting previous definitions per RFC 7950</w:t>
      </w:r>
      <w:r>
        <w:t xml:space="preserve"> </w:t>
      </w:r>
      <w:hyperlink w:anchor="ref-RFC7950">
        <w:r>
          <w:rPr>
            <w:rStyle w:val="Hyperlink"/>
          </w:rPr>
          <w:t xml:space="preserve">[3]</w:t>
        </w:r>
      </w:hyperlink>
      <w:r>
        <w:t xml:space="preserve"> </w:t>
      </w:r>
      <w:r>
        <w:t xml:space="preserve">section</w:t>
      </w:r>
      <w:r>
        <w:t xml:space="preserve"> </w:t>
      </w:r>
      <w:hyperlink r:id="rId121">
        <w:r>
          <w:rPr>
            <w:rStyle w:val="Hyperlink"/>
          </w:rPr>
          <w:t xml:space="preserve">7.21.2</w:t>
        </w:r>
      </w:hyperlink>
      <w:r>
        <w:t xml:space="preserve"> </w:t>
      </w:r>
      <w:r>
        <w:t xml:space="preserve">and further clarified by BBF-21.</w:t>
      </w:r>
    </w:p>
    <w:p>
      <w:pPr>
        <w:pStyle w:val="BodyText"/>
      </w:pPr>
      <w:r>
        <w:t xml:space="preserve">However, experience has shown that in certain cases, changes that are backwards incompatible according to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w:t>
      </w:r>
      <w:r>
        <w:t xml:space="preserve">may nevertheless be compatible in conjunction with other changes made at the same time. Therefore, it may be possible to address a specific problem, through backwards incompatible changes.</w:t>
      </w:r>
    </w:p>
    <w:p>
      <w:pPr>
        <w:pStyle w:val="BodyText"/>
      </w:pPr>
      <w:r>
        <w:t xml:space="preserve">However, before agreeing to such changes to a published YANG module, Work Areas must ensure, to the greatest possible extent, that these changes will indeed be backwards compatible and not impact any existing operator configuration or operations or other SDOs or vendors augmentations of these standardized modules.</w:t>
      </w:r>
    </w:p>
    <w:bookmarkEnd w:id="122"/>
    <w:bookmarkStart w:id="123" w:name="sec:bbf-23-enable-vs.-enabled"/>
    <w:p>
      <w:pPr>
        <w:pStyle w:val="Heading3"/>
      </w:pPr>
      <w:r>
        <w:t xml:space="preserve">BBF-23:</w:t>
      </w:r>
      <w:r>
        <w:t xml:space="preserve"> </w:t>
      </w:r>
      <w:r>
        <w:t xml:space="preserve">“</w:t>
      </w:r>
      <w:r>
        <w:t xml:space="preserve">enable</w:t>
      </w:r>
      <w:r>
        <w:t xml:space="preserve">”</w:t>
      </w:r>
      <w:r>
        <w:t xml:space="preserve"> </w:t>
      </w:r>
      <w:r>
        <w:t xml:space="preserve">vs. </w:t>
      </w:r>
      <w:r>
        <w:t xml:space="preserve">“</w:t>
      </w:r>
      <w:r>
        <w:t xml:space="preserve">enabled</w:t>
      </w:r>
      <w:r>
        <w:t xml:space="preserve">”</w:t>
      </w:r>
    </w:p>
    <w:p>
      <w:pPr>
        <w:pStyle w:val="FirstParagraph"/>
      </w:pPr>
      <w:r>
        <w:t xml:space="preserve">Data nodes used to enable/disable some function, and whose identifier is intended to include the term</w:t>
      </w:r>
      <w:r>
        <w:t xml:space="preserve"> </w:t>
      </w:r>
      <w:r>
        <w:t xml:space="preserve">“</w:t>
      </w:r>
      <w:r>
        <w:t xml:space="preserve">enable</w:t>
      </w:r>
      <w:r>
        <w:t xml:space="preserve">”</w:t>
      </w:r>
      <w:r>
        <w:t xml:space="preserve">, either solely or as part of a larger name, SHALL use the</w:t>
      </w:r>
      <w:r>
        <w:t xml:space="preserve"> </w:t>
      </w:r>
      <w:r>
        <w:t xml:space="preserve">“</w:t>
      </w:r>
      <w:r>
        <w:t xml:space="preserve">enabled</w:t>
      </w:r>
      <w:r>
        <w:t xml:space="preserve">”</w:t>
      </w:r>
      <w:r>
        <w:t xml:space="preserve"> </w:t>
      </w:r>
      <w:r>
        <w:t xml:space="preserve">form of the word, e.g.,</w:t>
      </w:r>
      <w:r>
        <w:t xml:space="preserve"> </w:t>
      </w:r>
      <w:r>
        <w:t xml:space="preserve">‘</w:t>
      </w:r>
      <w:r>
        <w:t xml:space="preserve">enabled</w:t>
      </w:r>
      <w:r>
        <w:t xml:space="preserve">’</w:t>
      </w:r>
      <w:r>
        <w:t xml:space="preserve"> </w:t>
      </w:r>
      <w:r>
        <w:t xml:space="preserve">or</w:t>
      </w:r>
      <w:r>
        <w:t xml:space="preserve"> </w:t>
      </w:r>
      <w:r>
        <w:t xml:space="preserve">‘</w:t>
      </w:r>
      <w:r>
        <w:t xml:space="preserve">statistics-enabled</w:t>
      </w:r>
      <w:r>
        <w:t xml:space="preserve">’</w:t>
      </w:r>
      <w:r>
        <w:t xml:space="preserve">. This also applies to the names of enums or bits.</w:t>
      </w:r>
    </w:p>
    <w:bookmarkEnd w:id="123"/>
    <w:bookmarkStart w:id="124" w:name="sec:bbf-24-oper-state-vs.-oper-status"/>
    <w:p>
      <w:pPr>
        <w:pStyle w:val="Heading3"/>
      </w:pPr>
      <w:r>
        <w:t xml:space="preserve">BBF-24:</w:t>
      </w:r>
      <w:r>
        <w:t xml:space="preserve"> </w:t>
      </w:r>
      <w:r>
        <w:t xml:space="preserve">“</w:t>
      </w:r>
      <w:r>
        <w:t xml:space="preserve">oper-state</w:t>
      </w:r>
      <w:r>
        <w:t xml:space="preserve">”</w:t>
      </w:r>
      <w:r>
        <w:t xml:space="preserve"> </w:t>
      </w:r>
      <w:r>
        <w:t xml:space="preserve">vs. </w:t>
      </w:r>
      <w:r>
        <w:t xml:space="preserve">“</w:t>
      </w:r>
      <w:r>
        <w:t xml:space="preserve">oper-status</w:t>
      </w:r>
      <w:r>
        <w:t xml:space="preserve">”</w:t>
      </w:r>
    </w:p>
    <w:p>
      <w:pPr>
        <w:pStyle w:val="FirstParagraph"/>
      </w:pPr>
      <w:r>
        <w:t xml:space="preserve">BBF YANG modules SHALL use the term</w:t>
      </w:r>
      <w:r>
        <w:t xml:space="preserve"> </w:t>
      </w:r>
      <w:r>
        <w:t xml:space="preserve">‘</w:t>
      </w:r>
      <w:r>
        <w:t xml:space="preserve">oper-state</w:t>
      </w:r>
      <w:r>
        <w:t xml:space="preserve">’</w:t>
      </w:r>
      <w:r>
        <w:t xml:space="preserve"> </w:t>
      </w:r>
      <w:r>
        <w:t xml:space="preserve">when defining a data node that reports the operational state. This is applicable whether it is the full name or part of the name of the data node, e.g.,</w:t>
      </w:r>
      <w:r>
        <w:t xml:space="preserve"> </w:t>
      </w:r>
      <w:r>
        <w:t xml:space="preserve">‘</w:t>
      </w:r>
      <w:r>
        <w:t xml:space="preserve">oper-state</w:t>
      </w:r>
      <w:r>
        <w:t xml:space="preserve">’</w:t>
      </w:r>
      <w:r>
        <w:t xml:space="preserve">,</w:t>
      </w:r>
      <w:r>
        <w:t xml:space="preserve"> </w:t>
      </w:r>
      <w:r>
        <w:t xml:space="preserve">‘</w:t>
      </w:r>
      <w:r>
        <w:t xml:space="preserve">oper-state-timestamp</w:t>
      </w:r>
      <w:r>
        <w:t xml:space="preserve">’</w:t>
      </w:r>
      <w:r>
        <w:t xml:space="preserve">.</w:t>
      </w:r>
    </w:p>
    <w:bookmarkEnd w:id="124"/>
    <w:bookmarkStart w:id="125" w:name="sec:bbf-25-reference-statements"/>
    <w:p>
      <w:pPr>
        <w:pStyle w:val="Heading3"/>
      </w:pPr>
      <w:r>
        <w:t xml:space="preserve">BBF-25: Reference Statements</w:t>
      </w:r>
    </w:p>
    <w:p>
      <w:pPr>
        <w:pStyle w:val="FirstParagraph"/>
      </w:pPr>
      <w:r>
        <w:t xml:space="preserve">The goal of a reference statement is not only to completely and unambiguously guide the user to the documentation that supports the data node(s) being modeled, but also to enable the user to locate data nodes within YANG modules that implement specific attributes or parameters specified in the given documentation by searching through the YANG modules for references to those attributes or parameters. To that end, the following guideline is provided.</w:t>
      </w:r>
    </w:p>
    <w:p>
      <w:pPr>
        <w:pStyle w:val="BodyText"/>
      </w:pPr>
      <w:r>
        <w:t xml:space="preserve">Reference statements SHALL reference technical specifications in a consistent manner using one or both of the following formats:</w:t>
      </w:r>
    </w:p>
    <w:p>
      <w:pPr>
        <w:pStyle w:val="SourceCode"/>
      </w:pPr>
      <w:r>
        <w:rPr>
          <w:rStyle w:val="VerbatimChar"/>
        </w:rPr>
        <w:t xml:space="preserve">reference</w:t>
      </w:r>
      <w:r>
        <w:br/>
      </w:r>
      <w:r>
        <w:rPr>
          <w:rStyle w:val="VerbatimChar"/>
        </w:rPr>
        <w:t xml:space="preserve">  "[&lt;single-reference&gt;; &lt;EOL&gt;]* &lt;single-reference&gt;";</w:t>
      </w:r>
      <w:r>
        <w:br/>
      </w:r>
      <w:r>
        <w:br/>
      </w:r>
      <w:r>
        <w:rPr>
          <w:rStyle w:val="VerbatimChar"/>
        </w:rPr>
        <w:t xml:space="preserve">&lt;single-reference&gt; ::=  [&lt;SDO&gt;] &lt;doc#&gt; [(&lt;version&gt;)] [&lt;R/S/C/T/F&gt;] [- &lt;descr&gt;] | &lt;URL&gt; [- &lt;descr&gt;]</w:t>
      </w:r>
    </w:p>
    <w:p>
      <w:pPr>
        <w:pStyle w:val="FirstParagraph"/>
      </w:pPr>
      <w:r>
        <w:t xml:space="preserve">where</w:t>
      </w:r>
    </w:p>
    <w:p>
      <w:pPr>
        <w:numPr>
          <w:ilvl w:val="0"/>
          <w:numId w:val="1018"/>
        </w:numPr>
        <w:pStyle w:val="Compact"/>
      </w:pPr>
      <w:r>
        <w:t xml:space="preserve">&lt;SDO&gt;: Standards Defining Organization</w:t>
      </w:r>
    </w:p>
    <w:p>
      <w:pPr>
        <w:numPr>
          <w:ilvl w:val="1"/>
          <w:numId w:val="1019"/>
        </w:numPr>
        <w:pStyle w:val="Compact"/>
      </w:pPr>
      <w:r>
        <w:t xml:space="preserve">Examples: IEEE, ITU-T</w:t>
      </w:r>
    </w:p>
    <w:p>
      <w:pPr>
        <w:numPr>
          <w:ilvl w:val="1"/>
          <w:numId w:val="1019"/>
        </w:numPr>
        <w:pStyle w:val="Compact"/>
      </w:pPr>
      <w:r>
        <w:t xml:space="preserve">Optional: For well known document types, e.g., RFC implies IETF and TR implies BBF, the SDO is not required.</w:t>
      </w:r>
    </w:p>
    <w:p>
      <w:pPr>
        <w:numPr>
          <w:ilvl w:val="0"/>
          <w:numId w:val="1018"/>
        </w:numPr>
        <w:pStyle w:val="Compact"/>
      </w:pPr>
      <w:r>
        <w:t xml:space="preserve">&lt;doc#&gt;: Document number</w:t>
      </w:r>
    </w:p>
    <w:p>
      <w:pPr>
        <w:numPr>
          <w:ilvl w:val="1"/>
          <w:numId w:val="1020"/>
        </w:numPr>
        <w:pStyle w:val="Compact"/>
      </w:pPr>
      <w:r>
        <w:t xml:space="preserve">Examples: TR-101i2, RFC 7950</w:t>
      </w:r>
    </w:p>
    <w:p>
      <w:pPr>
        <w:numPr>
          <w:ilvl w:val="1"/>
          <w:numId w:val="1020"/>
        </w:numPr>
        <w:pStyle w:val="Compact"/>
      </w:pPr>
      <w:r>
        <w:t xml:space="preserve">Mandatory</w:t>
      </w:r>
    </w:p>
    <w:p>
      <w:pPr>
        <w:numPr>
          <w:ilvl w:val="1"/>
          <w:numId w:val="1020"/>
        </w:numPr>
        <w:pStyle w:val="Compact"/>
      </w:pPr>
      <w:r>
        <w:t xml:space="preserve">For BBF documents, the Issue and/or Amendment and/or Corrigendum are included in the document number in the abbreviated format as described in IETF-7, e.g., TR-101i2, TR-385i2a1.</w:t>
      </w:r>
    </w:p>
    <w:p>
      <w:pPr>
        <w:numPr>
          <w:ilvl w:val="0"/>
          <w:numId w:val="1018"/>
        </w:numPr>
        <w:pStyle w:val="Compact"/>
      </w:pPr>
      <w:r>
        <w:t xml:space="preserve">&lt;version&gt;: Version or revision number and/or date</w:t>
      </w:r>
    </w:p>
    <w:p>
      <w:pPr>
        <w:numPr>
          <w:ilvl w:val="1"/>
          <w:numId w:val="1021"/>
        </w:numPr>
        <w:pStyle w:val="Compact"/>
      </w:pPr>
      <w:r>
        <w:t xml:space="preserve">Examples: (Revision 12.3), (2008/07)</w:t>
      </w:r>
    </w:p>
    <w:p>
      <w:pPr>
        <w:numPr>
          <w:ilvl w:val="1"/>
          <w:numId w:val="1021"/>
        </w:numPr>
        <w:pStyle w:val="Compact"/>
      </w:pPr>
      <w:r>
        <w:t xml:space="preserve">Optional: For documents whose name implies or specifies the version, e.g., RFC 8348, TR-383a6, additional version information is not required.</w:t>
      </w:r>
    </w:p>
    <w:p>
      <w:pPr>
        <w:numPr>
          <w:ilvl w:val="0"/>
          <w:numId w:val="1018"/>
        </w:numPr>
        <w:pStyle w:val="Compact"/>
      </w:pPr>
      <w:r>
        <w:t xml:space="preserve">&lt;R/S/C/T/F&gt;: Requirement/Section/Clause/Table/Figure</w:t>
      </w:r>
    </w:p>
    <w:p>
      <w:pPr>
        <w:numPr>
          <w:ilvl w:val="1"/>
          <w:numId w:val="1022"/>
        </w:numPr>
        <w:pStyle w:val="Compact"/>
      </w:pPr>
      <w:r>
        <w:t xml:space="preserve">Examples: R-13, Section 3.6, Clause 7.2.1, Table 2, Figure 5-4</w:t>
      </w:r>
    </w:p>
    <w:p>
      <w:pPr>
        <w:numPr>
          <w:ilvl w:val="1"/>
          <w:numId w:val="1022"/>
        </w:numPr>
        <w:pStyle w:val="Compact"/>
      </w:pPr>
      <w:r>
        <w:t xml:space="preserve">Optional: Only if applicable.</w:t>
      </w:r>
    </w:p>
    <w:p>
      <w:pPr>
        <w:numPr>
          <w:ilvl w:val="1"/>
          <w:numId w:val="1022"/>
        </w:numPr>
        <w:pStyle w:val="Compact"/>
      </w:pPr>
      <w:r>
        <w:t xml:space="preserve">Terminology MUST align with the terms used by the reference, e.g., Sections for RFCs, Clauses for ITU-T specifications.</w:t>
      </w:r>
    </w:p>
    <w:p>
      <w:pPr>
        <w:numPr>
          <w:ilvl w:val="1"/>
          <w:numId w:val="1022"/>
        </w:numPr>
        <w:pStyle w:val="Compact"/>
      </w:pPr>
      <w:r>
        <w:t xml:space="preserve">First letter is capitalized, e.g.,</w:t>
      </w:r>
      <w:r>
        <w:t xml:space="preserve"> </w:t>
      </w:r>
      <w:r>
        <w:t xml:space="preserve">“</w:t>
      </w:r>
      <w:r>
        <w:t xml:space="preserve">Section</w:t>
      </w:r>
      <w:r>
        <w:t xml:space="preserve">”</w:t>
      </w:r>
      <w:r>
        <w:t xml:space="preserve"> </w:t>
      </w:r>
      <w:r>
        <w:t xml:space="preserve">instead of</w:t>
      </w:r>
      <w:r>
        <w:t xml:space="preserve"> </w:t>
      </w:r>
      <w:r>
        <w:t xml:space="preserve">“</w:t>
      </w:r>
      <w:r>
        <w:t xml:space="preserve">section</w:t>
      </w:r>
      <w:r>
        <w:t xml:space="preserve">”</w:t>
      </w:r>
      <w:r>
        <w:t xml:space="preserve">.</w:t>
      </w:r>
    </w:p>
    <w:p>
      <w:pPr>
        <w:numPr>
          <w:ilvl w:val="1"/>
          <w:numId w:val="1022"/>
        </w:numPr>
        <w:pStyle w:val="Compact"/>
      </w:pPr>
      <w:r>
        <w:t xml:space="preserve">If multiple are applicable in a given document, treat each as a separate reference.</w:t>
      </w:r>
    </w:p>
    <w:p>
      <w:pPr>
        <w:numPr>
          <w:ilvl w:val="0"/>
          <w:numId w:val="1018"/>
        </w:numPr>
        <w:pStyle w:val="Compact"/>
      </w:pPr>
      <w:r>
        <w:t xml:space="preserve">&lt;descr&gt;: Description of the reference</w:t>
      </w:r>
    </w:p>
    <w:p>
      <w:pPr>
        <w:numPr>
          <w:ilvl w:val="1"/>
          <w:numId w:val="1023"/>
        </w:numPr>
        <w:pStyle w:val="Compact"/>
      </w:pPr>
      <w:r>
        <w:t xml:space="preserve">Examples: variable name or specific identifier within the Section or Clause</w:t>
      </w:r>
    </w:p>
    <w:p>
      <w:pPr>
        <w:numPr>
          <w:ilvl w:val="1"/>
          <w:numId w:val="1023"/>
        </w:numPr>
        <w:pStyle w:val="Compact"/>
      </w:pPr>
      <w:r>
        <w:t xml:space="preserve">Optional: Should be used when it is possible to uniquely identify the parameter being modeled within the given reference.</w:t>
      </w:r>
    </w:p>
    <w:p>
      <w:pPr>
        <w:numPr>
          <w:ilvl w:val="2"/>
          <w:numId w:val="1024"/>
        </w:numPr>
        <w:pStyle w:val="Compact"/>
      </w:pPr>
      <w:r>
        <w:t xml:space="preserve">Examples:</w:t>
      </w:r>
    </w:p>
    <w:p>
      <w:pPr>
        <w:numPr>
          <w:ilvl w:val="3"/>
          <w:numId w:val="1025"/>
        </w:numPr>
        <w:pStyle w:val="Compact"/>
      </w:pPr>
      <w:r>
        <w:t xml:space="preserve">An ME defined in an ITU-T G.988 Clause contains one or more parameters. If the reference is for one specific parameter, it must be identified in the reference, e.g.,</w:t>
      </w:r>
      <w:r>
        <w:t xml:space="preserve"> </w:t>
      </w:r>
      <w:r>
        <w:t xml:space="preserve">“</w:t>
      </w:r>
      <w:r>
        <w:t xml:space="preserve">ITU-T G.988 Clause 9.9.6 - PSTN protocol variant</w:t>
      </w:r>
      <w:r>
        <w:t xml:space="preserve">”</w:t>
      </w:r>
      <w:r>
        <w:t xml:space="preserve">.</w:t>
      </w:r>
    </w:p>
    <w:p>
      <w:pPr>
        <w:numPr>
          <w:ilvl w:val="3"/>
          <w:numId w:val="1025"/>
        </w:numPr>
        <w:pStyle w:val="Compact"/>
      </w:pPr>
      <w:r>
        <w:t xml:space="preserve">A parameter defined in an ITU-T G.997.x Clause is typically fully contained within the clause, i.e., no ambiguity. However, for implementers, it is useful to be able to quickly search for a desired parameter when the Clause is not known. For this use case, both the descriptive and shorthand (if applicable) representation should be identified, e.g.,</w:t>
      </w:r>
      <w:r>
        <w:t xml:space="preserve"> </w:t>
      </w:r>
      <w:r>
        <w:t xml:space="preserve">“</w:t>
      </w:r>
      <w:r>
        <w:t xml:space="preserve">ITU-T G.997.2 Clause 7.2.1.1 - Maximum net data rate (MAXNDRds/us)</w:t>
      </w:r>
      <w:r>
        <w:t xml:space="preserve">”</w:t>
      </w:r>
      <w:r>
        <w:t xml:space="preserve">.</w:t>
      </w:r>
    </w:p>
    <w:p>
      <w:pPr>
        <w:numPr>
          <w:ilvl w:val="3"/>
          <w:numId w:val="1025"/>
        </w:numPr>
        <w:pStyle w:val="Compact"/>
      </w:pPr>
      <w:r>
        <w:t xml:space="preserve">However, if the G.997.x parameter represents more than one distinct value, e.g., upstream and downstream, and the data node only applies to one, the reference should only contain the value for which it is applicable, e.g.,</w:t>
      </w:r>
      <w:r>
        <w:t xml:space="preserve"> </w:t>
      </w:r>
      <w:r>
        <w:t xml:space="preserve">“</w:t>
      </w:r>
      <w:r>
        <w:t xml:space="preserve">ITU-T G.997.2 Clause 7.2.1.1 - Maximum net data rate downstream (MAXNDRds)</w:t>
      </w:r>
      <w:r>
        <w:t xml:space="preserve">”</w:t>
      </w:r>
      <w:r>
        <w:t xml:space="preserve">.</w:t>
      </w:r>
    </w:p>
    <w:p>
      <w:pPr>
        <w:numPr>
          <w:ilvl w:val="3"/>
          <w:numId w:val="1025"/>
        </w:numPr>
        <w:pStyle w:val="Compact"/>
      </w:pPr>
      <w:r>
        <w:t xml:space="preserve">A parameter defined in a Table in SFF-8472 is specified by its memory location (address and byte numbers). References for these types of parameters should include the address and bytes, e.g.,</w:t>
      </w:r>
      <w:r>
        <w:t xml:space="preserve"> </w:t>
      </w:r>
      <w:r>
        <w:t xml:space="preserve">“</w:t>
      </w:r>
      <w:r>
        <w:t xml:space="preserve">SFF-8472 (Revision 12.4) Table 4-1 - Address A0h, Bytes 96-127</w:t>
      </w:r>
      <w:r>
        <w:t xml:space="preserve">”</w:t>
      </w:r>
      <w:r>
        <w:t xml:space="preserve">.</w:t>
      </w:r>
    </w:p>
    <w:p>
      <w:pPr>
        <w:numPr>
          <w:ilvl w:val="1"/>
          <w:numId w:val="1023"/>
        </w:numPr>
        <w:pStyle w:val="Compact"/>
      </w:pPr>
      <w:r>
        <w:t xml:space="preserve">In general, the title associated with the reference should not be used unless it also represents one of the above.</w:t>
      </w:r>
    </w:p>
    <w:p>
      <w:pPr>
        <w:numPr>
          <w:ilvl w:val="0"/>
          <w:numId w:val="1018"/>
        </w:numPr>
        <w:pStyle w:val="Compact"/>
      </w:pPr>
      <w:r>
        <w:t xml:space="preserve">&lt;URL&gt;: The URL of the associated reference used when there is no formal technical specification</w:t>
      </w:r>
    </w:p>
    <w:p>
      <w:pPr>
        <w:numPr>
          <w:ilvl w:val="1"/>
          <w:numId w:val="1026"/>
        </w:numPr>
        <w:pStyle w:val="Compact"/>
      </w:pPr>
      <w:r>
        <w:t xml:space="preserve">Example: github.com/grpc/grpc/blob/master/doc/connection-backoff.md</w:t>
      </w:r>
    </w:p>
    <w:p>
      <w:pPr>
        <w:numPr>
          <w:ilvl w:val="1"/>
          <w:numId w:val="1026"/>
        </w:numPr>
        <w:pStyle w:val="Compact"/>
      </w:pPr>
      <w:r>
        <w:t xml:space="preserve">Do not include the URL scheme, e.g., http:// or https://, as it may change. For example, a site may move from an unsecure (http) scheme to a secure (https) scheme.</w:t>
      </w:r>
    </w:p>
    <w:p>
      <w:pPr>
        <w:numPr>
          <w:ilvl w:val="0"/>
          <w:numId w:val="1018"/>
        </w:numPr>
        <w:pStyle w:val="Compact"/>
      </w:pPr>
      <w:r>
        <w:t xml:space="preserve">‘</w:t>
      </w:r>
      <w:r>
        <w:t xml:space="preserve">;</w:t>
      </w:r>
      <w:r>
        <w:t xml:space="preserve">’</w:t>
      </w:r>
      <w:r>
        <w:t xml:space="preserve">: Requirement separator</w:t>
      </w:r>
    </w:p>
    <w:p>
      <w:pPr>
        <w:numPr>
          <w:ilvl w:val="1"/>
          <w:numId w:val="1027"/>
        </w:numPr>
        <w:pStyle w:val="Compact"/>
      </w:pPr>
      <w:r>
        <w:t xml:space="preserve">Mandatory: A semicolon MUST be used to terminate all but the last reference when there are multiple references in a reference statement.</w:t>
      </w:r>
    </w:p>
    <w:p>
      <w:pPr>
        <w:numPr>
          <w:ilvl w:val="1"/>
          <w:numId w:val="1027"/>
        </w:numPr>
        <w:pStyle w:val="Compact"/>
      </w:pPr>
      <w:r>
        <w:t xml:space="preserve">Each reference MUST start on a new line.</w:t>
      </w:r>
    </w:p>
    <w:p>
      <w:pPr>
        <w:numPr>
          <w:ilvl w:val="1"/>
          <w:numId w:val="1027"/>
        </w:numPr>
        <w:pStyle w:val="Compact"/>
      </w:pPr>
      <w:r>
        <w:t xml:space="preserve">This is not applicable when there is only one reference in the reference statement.</w:t>
      </w:r>
    </w:p>
    <w:p>
      <w:pPr>
        <w:numPr>
          <w:ilvl w:val="0"/>
          <w:numId w:val="1018"/>
        </w:numPr>
        <w:pStyle w:val="Compact"/>
      </w:pPr>
      <w:r>
        <w:t xml:space="preserve">If a single reference spans multiple lines, the first character on the second and subsequent lines of the reference SHALL align under the first character on the first line of the reference.</w:t>
      </w:r>
    </w:p>
    <w:p>
      <w:pPr>
        <w:pStyle w:val="FirstParagraph"/>
      </w:pPr>
      <w:r>
        <w:t xml:space="preserve">Example:</w:t>
      </w:r>
    </w:p>
    <w:p>
      <w:pPr>
        <w:pStyle w:val="SourceCode"/>
      </w:pPr>
      <w:r>
        <w:rPr>
          <w:rStyle w:val="VerbatimChar"/>
        </w:rPr>
        <w:t xml:space="preserve">reference</w:t>
      </w:r>
      <w:r>
        <w:br/>
      </w:r>
      <w:r>
        <w:rPr>
          <w:rStyle w:val="VerbatimChar"/>
        </w:rPr>
        <w:t xml:space="preserve">  "RFC 5519 Section 5 - mgmdRouterInterfaceQueryInterval;</w:t>
      </w:r>
      <w:r>
        <w:br/>
      </w:r>
      <w:r>
        <w:rPr>
          <w:rStyle w:val="VerbatimChar"/>
        </w:rPr>
        <w:t xml:space="preserve">   TR-101i2 Table 2;</w:t>
      </w:r>
      <w:r>
        <w:br/>
      </w:r>
      <w:r>
        <w:rPr>
          <w:rStyle w:val="VerbatimChar"/>
        </w:rPr>
        <w:t xml:space="preserve">   SFF-8472 (Revision 12.4) Table 9-5 - Address A2h,</w:t>
      </w:r>
      <w:r>
        <w:br/>
      </w:r>
      <w:r>
        <w:rPr>
          <w:rStyle w:val="VerbatimChar"/>
        </w:rPr>
        <w:t xml:space="preserve">   Bytes 40-41;</w:t>
      </w:r>
      <w:r>
        <w:br/>
      </w:r>
      <w:r>
        <w:rPr>
          <w:rStyle w:val="VerbatimChar"/>
        </w:rPr>
        <w:t xml:space="preserve">   ITU-T G.997.2 Clause 7.11.1.1 - Net data rate (NDRds/us);</w:t>
      </w:r>
      <w:r>
        <w:br/>
      </w:r>
      <w:r>
        <w:rPr>
          <w:rStyle w:val="VerbatimChar"/>
        </w:rPr>
        <w:t xml:space="preserve">   ITU-T G.997.2 Clause 7.2.1.1 - Maximum net data rate downstream (MAXNDRds);</w:t>
      </w:r>
      <w:r>
        <w:br/>
      </w:r>
      <w:r>
        <w:rPr>
          <w:rStyle w:val="VerbatimChar"/>
        </w:rPr>
        <w:t xml:space="preserve">   IEEE 802.1Q (2018) Clause 20.23.3;</w:t>
      </w:r>
      <w:r>
        <w:br/>
      </w:r>
      <w:r>
        <w:rPr>
          <w:rStyle w:val="VerbatimChar"/>
        </w:rPr>
        <w:t xml:space="preserve">   IEEE 802.1Q (2018) Table 20-1 - xconCCMdefect;</w:t>
      </w:r>
      <w:r>
        <w:br/>
      </w:r>
      <w:r>
        <w:rPr>
          <w:rStyle w:val="VerbatimChar"/>
        </w:rPr>
        <w:t xml:space="preserve">   github.com/grpc/grpc/blob/master/doc/connection-backoff.md - INITIAL_BACKOFF";</w:t>
      </w:r>
    </w:p>
    <w:p>
      <w:pPr>
        <w:pStyle w:val="FirstParagraph"/>
      </w:pPr>
      <w:r>
        <w:t xml:space="preserve">Additional Notes:</w:t>
      </w:r>
    </w:p>
    <w:p>
      <w:pPr>
        <w:numPr>
          <w:ilvl w:val="0"/>
          <w:numId w:val="1028"/>
        </w:numPr>
        <w:pStyle w:val="Compact"/>
      </w:pPr>
      <w:r>
        <w:t xml:space="preserve">While external references must be documented in the</w:t>
      </w:r>
      <w:r>
        <w:t xml:space="preserve"> </w:t>
      </w:r>
      <w:r>
        <w:t xml:space="preserve">‘</w:t>
      </w:r>
      <w:r>
        <w:t xml:space="preserve">reference</w:t>
      </w:r>
      <w:r>
        <w:t xml:space="preserve">’</w:t>
      </w:r>
      <w:r>
        <w:t xml:space="preserve"> </w:t>
      </w:r>
      <w:r>
        <w:t xml:space="preserve">statement, it is also allowed to refer to them in the description itself.</w:t>
      </w:r>
    </w:p>
    <w:p>
      <w:pPr>
        <w:numPr>
          <w:ilvl w:val="0"/>
          <w:numId w:val="1028"/>
        </w:numPr>
        <w:pStyle w:val="Compact"/>
      </w:pPr>
      <w:r>
        <w:t xml:space="preserve">This guideline does not apply to a reference statement within a revision statement. Those reference statements have a unique format used for drafts and publication.</w:t>
      </w:r>
    </w:p>
    <w:p>
      <w:pPr>
        <w:numPr>
          <w:ilvl w:val="0"/>
          <w:numId w:val="1028"/>
        </w:numPr>
        <w:pStyle w:val="Compact"/>
      </w:pPr>
      <w:r>
        <w:t xml:space="preserve">URL references should be periodically reviewed to ensure they still exist or have not been moved.</w:t>
      </w:r>
    </w:p>
    <w:bookmarkEnd w:id="125"/>
    <w:bookmarkStart w:id="128" w:name="sec:bbf-26-body-statements"/>
    <w:p>
      <w:pPr>
        <w:pStyle w:val="Heading3"/>
      </w:pPr>
      <w:r>
        <w:t xml:space="preserve">BBF-26: Body Statements</w:t>
      </w:r>
    </w:p>
    <w:p>
      <w:pPr>
        <w:pStyle w:val="FirstParagraph"/>
      </w:pPr>
      <w:r>
        <w:t xml:space="preserve">The order of body statements in BBF YANG modules SHOULD follow the order as stated in the body-stmt ABNF grammar defined in RFC 7950</w:t>
      </w:r>
      <w:r>
        <w:t xml:space="preserve"> </w:t>
      </w:r>
      <w:hyperlink w:anchor="ref-RFC7950">
        <w:r>
          <w:rPr>
            <w:rStyle w:val="Hyperlink"/>
          </w:rPr>
          <w:t xml:space="preserve">[3]</w:t>
        </w:r>
      </w:hyperlink>
      <w:r>
        <w:t xml:space="preserve"> </w:t>
      </w:r>
      <w:r>
        <w:t xml:space="preserve">section</w:t>
      </w:r>
      <w:r>
        <w:t xml:space="preserve"> </w:t>
      </w:r>
      <w:hyperlink r:id="rId126">
        <w:r>
          <w:rPr>
            <w:rStyle w:val="Hyperlink"/>
          </w:rPr>
          <w:t xml:space="preserve">14</w:t>
        </w:r>
      </w:hyperlink>
      <w:r>
        <w:t xml:space="preserve"> </w:t>
      </w:r>
      <w:r>
        <w:t xml:space="preserve">and as shown in the YANG Module Template defined in RFC 8407</w:t>
      </w:r>
      <w:r>
        <w:t xml:space="preserve"> </w:t>
      </w:r>
      <w:hyperlink w:anchor="ref-RFC8407">
        <w:r>
          <w:rPr>
            <w:rStyle w:val="Hyperlink"/>
          </w:rPr>
          <w:t xml:space="preserve">[5]</w:t>
        </w:r>
      </w:hyperlink>
      <w:r>
        <w:t xml:space="preserve"> </w:t>
      </w:r>
      <w:r>
        <w:t xml:space="preserve">Appendix</w:t>
      </w:r>
      <w:r>
        <w:t xml:space="preserve"> </w:t>
      </w:r>
      <w:hyperlink r:id="rId127">
        <w:r>
          <w:rPr>
            <w:rStyle w:val="Hyperlink"/>
          </w:rPr>
          <w:t xml:space="preserve">B</w:t>
        </w:r>
      </w:hyperlink>
      <w:r>
        <w:t xml:space="preserve">. Note that while the ABNF grammar specifies deviation statements follow notifications, the YANG Module Template states</w:t>
      </w:r>
      <w:r>
        <w:t xml:space="preserve"> </w:t>
      </w:r>
      <w:r>
        <w:t xml:space="preserve">“</w:t>
      </w:r>
      <w:r>
        <w:t xml:space="preserve">DO NOT put deviation statements in a published module</w:t>
      </w:r>
      <w:r>
        <w:t xml:space="preserve">”</w:t>
      </w:r>
      <w:r>
        <w:t xml:space="preserve">. BBF YANG modules MUST follow this stated guideline on deviation statements.</w:t>
      </w:r>
    </w:p>
    <w:p>
      <w:pPr>
        <w:pStyle w:val="BodyText"/>
      </w:pPr>
      <w:r>
        <w:t xml:space="preserve">Body Statement Order:</w:t>
      </w:r>
    </w:p>
    <w:p>
      <w:pPr>
        <w:numPr>
          <w:ilvl w:val="0"/>
          <w:numId w:val="1029"/>
        </w:numPr>
        <w:pStyle w:val="Compact"/>
      </w:pPr>
      <w:r>
        <w:t xml:space="preserve">extension statements</w:t>
      </w:r>
    </w:p>
    <w:p>
      <w:pPr>
        <w:numPr>
          <w:ilvl w:val="0"/>
          <w:numId w:val="1029"/>
        </w:numPr>
        <w:pStyle w:val="Compact"/>
      </w:pPr>
      <w:r>
        <w:t xml:space="preserve">feature statements</w:t>
      </w:r>
    </w:p>
    <w:p>
      <w:pPr>
        <w:numPr>
          <w:ilvl w:val="0"/>
          <w:numId w:val="1029"/>
        </w:numPr>
        <w:pStyle w:val="Compact"/>
      </w:pPr>
      <w:r>
        <w:t xml:space="preserve">identity statements</w:t>
      </w:r>
    </w:p>
    <w:p>
      <w:pPr>
        <w:numPr>
          <w:ilvl w:val="0"/>
          <w:numId w:val="1029"/>
        </w:numPr>
        <w:pStyle w:val="Compact"/>
      </w:pPr>
      <w:r>
        <w:t xml:space="preserve">typedef statements</w:t>
      </w:r>
    </w:p>
    <w:p>
      <w:pPr>
        <w:numPr>
          <w:ilvl w:val="0"/>
          <w:numId w:val="1029"/>
        </w:numPr>
        <w:pStyle w:val="Compact"/>
      </w:pPr>
      <w:r>
        <w:t xml:space="preserve">grouping statements</w:t>
      </w:r>
    </w:p>
    <w:p>
      <w:pPr>
        <w:numPr>
          <w:ilvl w:val="0"/>
          <w:numId w:val="1029"/>
        </w:numPr>
        <w:pStyle w:val="Compact"/>
      </w:pPr>
      <w:r>
        <w:t xml:space="preserve">data definition statements</w:t>
      </w:r>
    </w:p>
    <w:p>
      <w:pPr>
        <w:numPr>
          <w:ilvl w:val="0"/>
          <w:numId w:val="1029"/>
        </w:numPr>
        <w:pStyle w:val="Compact"/>
      </w:pPr>
      <w:r>
        <w:t xml:space="preserve">augment statements</w:t>
      </w:r>
    </w:p>
    <w:p>
      <w:pPr>
        <w:numPr>
          <w:ilvl w:val="0"/>
          <w:numId w:val="1029"/>
        </w:numPr>
        <w:pStyle w:val="Compact"/>
      </w:pPr>
      <w:r>
        <w:t xml:space="preserve">rpc statements</w:t>
      </w:r>
    </w:p>
    <w:p>
      <w:pPr>
        <w:numPr>
          <w:ilvl w:val="0"/>
          <w:numId w:val="1029"/>
        </w:numPr>
        <w:pStyle w:val="Compact"/>
      </w:pPr>
      <w:r>
        <w:t xml:space="preserve">notification statements</w:t>
      </w:r>
    </w:p>
    <w:bookmarkEnd w:id="128"/>
    <w:bookmarkStart w:id="129" w:name="Xba1c62665070be3155a84b4d1da73d5a18d616d"/>
    <w:p>
      <w:pPr>
        <w:pStyle w:val="Heading3"/>
      </w:pPr>
      <w:r>
        <w:t xml:space="preserve">BBF-27:</w:t>
      </w:r>
      <w:r>
        <w:t xml:space="preserve"> </w:t>
      </w:r>
      <w:r>
        <w:t xml:space="preserve">‘</w:t>
      </w:r>
      <w:r>
        <w:t xml:space="preserve">list</w:t>
      </w:r>
      <w:r>
        <w:t xml:space="preserve">’</w:t>
      </w:r>
      <w:r>
        <w:t xml:space="preserve"> </w:t>
      </w:r>
      <w:r>
        <w:t xml:space="preserve">and</w:t>
      </w:r>
      <w:r>
        <w:t xml:space="preserve"> </w:t>
      </w:r>
      <w:r>
        <w:t xml:space="preserve">‘</w:t>
      </w:r>
      <w:r>
        <w:t xml:space="preserve">leaf-list</w:t>
      </w:r>
      <w:r>
        <w:t xml:space="preserve">’</w:t>
      </w:r>
      <w:r>
        <w:t xml:space="preserve"> </w:t>
      </w:r>
      <w:r>
        <w:t xml:space="preserve">Naming and Descriptions</w:t>
      </w:r>
    </w:p>
    <w:p>
      <w:pPr>
        <w:pStyle w:val="FirstParagraph"/>
      </w:pPr>
      <w:r>
        <w:t xml:space="preserve">The name of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be in the singular form. The motiviation is that the XML representation repeats the name for each entry.</w:t>
      </w:r>
    </w:p>
    <w:p>
      <w:pPr>
        <w:pStyle w:val="BodyText"/>
      </w:pPr>
      <w:r>
        <w:t xml:space="preserve">Example YANG:</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traffic management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p>
      <w:pPr>
        <w:pStyle w:val="FirstParagraph"/>
      </w:pPr>
      <w:r>
        <w:t xml:space="preserve">Example XML:</w:t>
      </w:r>
    </w:p>
    <w:p>
      <w:pPr>
        <w:pStyle w:val="SourceCode"/>
      </w:pPr>
      <w:r>
        <w:rPr>
          <w:rStyle w:val="VerbatimChar"/>
        </w:rPr>
        <w:t xml:space="preserve">&lt;traffic-management-profile&gt;</w:t>
      </w:r>
      <w:r>
        <w:br/>
      </w:r>
      <w:r>
        <w:rPr>
          <w:rStyle w:val="VerbatimChar"/>
        </w:rPr>
        <w:t xml:space="preserve">  &lt;name&gt;multicast&lt;/name&gt;</w:t>
      </w:r>
      <w:r>
        <w:br/>
      </w:r>
      <w:r>
        <w:rPr>
          <w:rStyle w:val="VerbatimChar"/>
        </w:rPr>
        <w:t xml:space="preserve">&lt;/traffic-management-profile&gt;</w:t>
      </w:r>
      <w:r>
        <w:br/>
      </w:r>
      <w:r>
        <w:rPr>
          <w:rStyle w:val="VerbatimChar"/>
        </w:rPr>
        <w:t xml:space="preserve">&lt;traffic-management-profile&gt;</w:t>
      </w:r>
      <w:r>
        <w:br/>
      </w:r>
      <w:r>
        <w:rPr>
          <w:rStyle w:val="VerbatimChar"/>
        </w:rPr>
        <w:t xml:space="preserve">  &lt;name&gt;hsi&lt;/name&gt;</w:t>
      </w:r>
      <w:r>
        <w:br/>
      </w:r>
      <w:r>
        <w:rPr>
          <w:rStyle w:val="VerbatimChar"/>
        </w:rPr>
        <w:t xml:space="preserve">&lt;/traffic-management-profile&gt;</w:t>
      </w:r>
    </w:p>
    <w:p>
      <w:pPr>
        <w:pStyle w:val="FirstParagraph"/>
      </w:pPr>
      <w:r>
        <w:t xml:space="preserve">Note in the example YANG, the description for the</w:t>
      </w:r>
      <w:r>
        <w:t xml:space="preserve"> </w:t>
      </w:r>
      <w:r>
        <w:t xml:space="preserve">‘</w:t>
      </w:r>
      <w:r>
        <w:t xml:space="preserve">list</w:t>
      </w:r>
      <w:r>
        <w:t xml:space="preserve">’</w:t>
      </w:r>
      <w:r>
        <w:t xml:space="preserve"> </w:t>
      </w:r>
      <w:r>
        <w:t xml:space="preserve">node describes a single entry in the list,</w:t>
      </w:r>
      <w:r>
        <w:t xml:space="preserve"> </w:t>
      </w:r>
      <w:r>
        <w:t xml:space="preserve">“</w:t>
      </w:r>
      <w:r>
        <w:t xml:space="preserve">A traffic management profile</w:t>
      </w:r>
      <w:r>
        <w:t xml:space="preserve">”</w:t>
      </w:r>
      <w:r>
        <w:t xml:space="preserve">.</w:t>
      </w:r>
    </w:p>
    <w:p>
      <w:pPr>
        <w:pStyle w:val="BodyText"/>
      </w:pPr>
      <w:r>
        <w:t xml:space="preserve">The description statement for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describe what an entry represents rather than describing the entire list. In other words, the description should follow the example above rather than:</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list of traffic management profiles.";</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bookmarkEnd w:id="129"/>
    <w:bookmarkStart w:id="130" w:name="Xec0f6fb32d61293c49cd1103edc2f277edb476e"/>
    <w:p>
      <w:pPr>
        <w:pStyle w:val="Heading3"/>
      </w:pPr>
      <w:r>
        <w:t xml:space="preserve">BBF-28: Description on</w:t>
      </w:r>
      <w:r>
        <w:t xml:space="preserve"> </w:t>
      </w:r>
      <w:r>
        <w:t xml:space="preserve">‘</w:t>
      </w:r>
      <w:r>
        <w:t xml:space="preserve">when</w:t>
      </w:r>
      <w:r>
        <w:t xml:space="preserve">’</w:t>
      </w:r>
      <w:r>
        <w:t xml:space="preserve"> </w:t>
      </w:r>
      <w:r>
        <w:t xml:space="preserve">statements</w:t>
      </w:r>
    </w:p>
    <w:p>
      <w:pPr>
        <w:pStyle w:val="FirstParagraph"/>
      </w:pPr>
      <w:r>
        <w:t xml:space="preserve">Not everyone reading a YANG model is an expert in YANG and/or XPath. In order to provide assistence in understanding the intent, all</w:t>
      </w:r>
      <w:r>
        <w:t xml:space="preserve"> </w:t>
      </w:r>
      <w:r>
        <w:t xml:space="preserve">‘</w:t>
      </w:r>
      <w:r>
        <w:t xml:space="preserve">when</w:t>
      </w:r>
      <w:r>
        <w:t xml:space="preserve">’</w:t>
      </w:r>
      <w:r>
        <w:t xml:space="preserve"> </w:t>
      </w:r>
      <w:r>
        <w:t xml:space="preserve">statements SHALL contain a description statement. This description should convey the intent of the</w:t>
      </w:r>
      <w:r>
        <w:t xml:space="preserve"> </w:t>
      </w:r>
      <w:r>
        <w:t xml:space="preserve">‘</w:t>
      </w:r>
      <w:r>
        <w:t xml:space="preserve">when</w:t>
      </w:r>
      <w:r>
        <w:t xml:space="preserve">’</w:t>
      </w:r>
      <w:r>
        <w:t xml:space="preserve"> </w:t>
      </w:r>
      <w:r>
        <w:t xml:space="preserve">condition in easy to understand language.</w:t>
      </w:r>
    </w:p>
    <w:p>
      <w:pPr>
        <w:pStyle w:val="BodyText"/>
      </w:pPr>
      <w:r>
        <w:t xml:space="preserve">Examples:</w:t>
      </w:r>
    </w:p>
    <w:p>
      <w:pPr>
        <w:pStyle w:val="SourceCode"/>
      </w:pPr>
      <w:r>
        <w:rPr>
          <w:rStyle w:val="VerbatimChar"/>
        </w:rPr>
        <w:t xml:space="preserve">when "derived-from-or-self(hw:class,'bbf-hwt:transceiver-link') {</w:t>
      </w:r>
      <w:r>
        <w:br/>
      </w:r>
      <w:r>
        <w:rPr>
          <w:rStyle w:val="VerbatimChar"/>
        </w:rPr>
        <w:t xml:space="preserve">  description</w:t>
      </w:r>
      <w:r>
        <w:br/>
      </w:r>
      <w:r>
        <w:rPr>
          <w:rStyle w:val="VerbatimChar"/>
        </w:rPr>
        <w:t xml:space="preserve">    "Applicable when the class of hardware component is either a</w:t>
      </w:r>
      <w:r>
        <w:br/>
      </w:r>
      <w:r>
        <w:rPr>
          <w:rStyle w:val="VerbatimChar"/>
        </w:rPr>
        <w:t xml:space="preserve">     transceiver link or another class derived from a transceiver</w:t>
      </w:r>
      <w:r>
        <w:br/>
      </w:r>
      <w:r>
        <w:rPr>
          <w:rStyle w:val="VerbatimChar"/>
        </w:rPr>
        <w:t xml:space="preserve">     link.";</w:t>
      </w:r>
      <w:r>
        <w:br/>
      </w:r>
      <w:r>
        <w:rPr>
          <w:rStyle w:val="VerbatimChar"/>
        </w:rPr>
        <w:t xml:space="preserve">}</w:t>
      </w:r>
    </w:p>
    <w:p>
      <w:pPr>
        <w:pStyle w:val="SourceCode"/>
      </w:pPr>
      <w:r>
        <w:rPr>
          <w:rStyle w:val="VerbatimChar"/>
        </w:rPr>
        <w:t xml:space="preserve">when "not(boolean(../enable))"</w:t>
      </w:r>
      <w:r>
        <w:br/>
      </w:r>
      <w:r>
        <w:rPr>
          <w:rStyle w:val="VerbatimChar"/>
        </w:rPr>
        <w:t xml:space="preserve">   + " or "</w:t>
      </w:r>
      <w:r>
        <w:br/>
      </w:r>
      <w:r>
        <w:rPr>
          <w:rStyle w:val="VerbatimChar"/>
        </w:rPr>
        <w:t xml:space="preserve">   + "(../enable='true')" {</w:t>
      </w:r>
      <w:r>
        <w:br/>
      </w:r>
      <w:r>
        <w:rPr>
          <w:rStyle w:val="VerbatimChar"/>
        </w:rPr>
        <w:t xml:space="preserve">  description</w:t>
      </w:r>
      <w:r>
        <w:br/>
      </w:r>
      <w:r>
        <w:rPr>
          <w:rStyle w:val="VerbatimChar"/>
        </w:rPr>
        <w:t xml:space="preserve">    "If the administrative state of a session is</w:t>
      </w:r>
      <w:r>
        <w:br/>
      </w:r>
      <w:r>
        <w:rPr>
          <w:rStyle w:val="VerbatimChar"/>
        </w:rPr>
        <w:t xml:space="preserve">     supported, the session must be currently</w:t>
      </w:r>
      <w:r>
        <w:br/>
      </w:r>
      <w:r>
        <w:rPr>
          <w:rStyle w:val="VerbatimChar"/>
        </w:rPr>
        <w:t xml:space="preserve">     administratively enabled to reset the session.";</w:t>
      </w:r>
      <w:r>
        <w:br/>
      </w:r>
      <w:r>
        <w:rPr>
          <w:rStyle w:val="VerbatimChar"/>
        </w:rPr>
        <w:t xml:space="preserve">}</w:t>
      </w:r>
    </w:p>
    <w:bookmarkEnd w:id="130"/>
    <w:bookmarkStart w:id="131" w:name="sec:bbf-29-use-of-english-contractions"/>
    <w:p>
      <w:pPr>
        <w:pStyle w:val="Heading3"/>
      </w:pPr>
      <w:r>
        <w:t xml:space="preserve">BBF-29: Use of English Contractions</w:t>
      </w:r>
    </w:p>
    <w:p>
      <w:pPr>
        <w:pStyle w:val="FirstParagraph"/>
      </w:pPr>
      <w:r>
        <w:t xml:space="preserve">Descriptions in YANG modules are considered to be formal documentation. Therefore, English contractions, e.g., can’t, isn’t, etc., SHALL NOT be used in description statements.</w:t>
      </w:r>
    </w:p>
    <w:bookmarkEnd w:id="131"/>
    <w:bookmarkEnd w:id="132"/>
    <w:bookmarkStart w:id="140"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33"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30"/>
        </w:numPr>
        <w:pStyle w:val="Compact"/>
      </w:pPr>
      <w:r>
        <w:t xml:space="preserve">not-supported</w:t>
      </w:r>
    </w:p>
    <w:p>
      <w:pPr>
        <w:numPr>
          <w:ilvl w:val="1"/>
          <w:numId w:val="1031"/>
        </w:numPr>
        <w:pStyle w:val="Compact"/>
      </w:pPr>
      <w:r>
        <w:t xml:space="preserve">Indicates the target node is not implemented by the server.</w:t>
      </w:r>
    </w:p>
    <w:p>
      <w:pPr>
        <w:numPr>
          <w:ilvl w:val="0"/>
          <w:numId w:val="1030"/>
        </w:numPr>
        <w:pStyle w:val="Compact"/>
      </w:pPr>
      <w:r>
        <w:t xml:space="preserve">add</w:t>
      </w:r>
    </w:p>
    <w:p>
      <w:pPr>
        <w:numPr>
          <w:ilvl w:val="1"/>
          <w:numId w:val="1032"/>
        </w:numPr>
        <w:pStyle w:val="Compact"/>
      </w:pPr>
      <w:r>
        <w:t xml:space="preserve">Adds properties to the target node so long as they do not already exist.</w:t>
      </w:r>
    </w:p>
    <w:p>
      <w:pPr>
        <w:numPr>
          <w:ilvl w:val="0"/>
          <w:numId w:val="1030"/>
        </w:numPr>
        <w:pStyle w:val="Compact"/>
      </w:pPr>
      <w:r>
        <w:t xml:space="preserve">replace</w:t>
      </w:r>
    </w:p>
    <w:p>
      <w:pPr>
        <w:numPr>
          <w:ilvl w:val="1"/>
          <w:numId w:val="1033"/>
        </w:numPr>
        <w:pStyle w:val="Compact"/>
      </w:pPr>
      <w:r>
        <w:t xml:space="preserve">Replaces properties of the target node so long as they already exist.</w:t>
      </w:r>
    </w:p>
    <w:p>
      <w:pPr>
        <w:numPr>
          <w:ilvl w:val="0"/>
          <w:numId w:val="1030"/>
        </w:numPr>
        <w:pStyle w:val="Compact"/>
      </w:pPr>
      <w:r>
        <w:t xml:space="preserve">delete</w:t>
      </w:r>
    </w:p>
    <w:p>
      <w:pPr>
        <w:numPr>
          <w:ilvl w:val="1"/>
          <w:numId w:val="1034"/>
        </w:numPr>
        <w:pStyle w:val="Compact"/>
      </w:pPr>
      <w:r>
        <w:t xml:space="preserve">Deletes existing properties of the target node.</w:t>
      </w:r>
    </w:p>
    <w:bookmarkEnd w:id="133"/>
    <w:bookmarkStart w:id="134"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34"/>
    <w:bookmarkStart w:id="135"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35"/>
    <w:bookmarkStart w:id="136"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[2]</w:t>
        </w:r>
      </w:hyperlink>
      <w:r>
        <w:t xml:space="preserve"> </w:t>
      </w:r>
      <w:r>
        <w:t xml:space="preserve">to explicitly enforce how many interfaces are present.</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always 8 G.fast interfaces present.";</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36"/>
    <w:bookmarkStart w:id="137"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37"/>
    <w:bookmarkStart w:id="138"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38"/>
    <w:bookmarkStart w:id="139"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39"/>
    <w:bookmarkEnd w:id="140"/>
    <w:bookmarkStart w:id="152" w:name="sec:bbf-guidelines-for-units-statements"/>
    <w:p>
      <w:pPr>
        <w:pStyle w:val="Heading2"/>
      </w:pPr>
      <w:r>
        <w:t xml:space="preserve">BBF Guidelines for</w:t>
      </w:r>
      <w:r>
        <w:t xml:space="preserve"> </w:t>
      </w:r>
      <w:r>
        <w:t xml:space="preserve">‘</w:t>
      </w:r>
      <w:r>
        <w:t xml:space="preserve">units</w:t>
      </w:r>
      <w:r>
        <w:t xml:space="preserve">’</w:t>
      </w:r>
      <w:r>
        <w:t xml:space="preserve"> </w:t>
      </w:r>
      <w:r>
        <w:t xml:space="preserve">Statements</w:t>
      </w:r>
    </w:p>
    <w:p>
      <w:pPr>
        <w:pStyle w:val="FirstParagraph"/>
      </w:pPr>
      <w:r>
        <w:t xml:space="preserve">The following guidelines apply to the specification of</w:t>
      </w:r>
      <w:r>
        <w:t xml:space="preserve"> </w:t>
      </w:r>
      <w:r>
        <w:t xml:space="preserve">‘</w:t>
      </w:r>
      <w:r>
        <w:t xml:space="preserve">units</w:t>
      </w:r>
      <w:r>
        <w:t xml:space="preserve">’</w:t>
      </w:r>
      <w:r>
        <w:t xml:space="preserve"> </w:t>
      </w:r>
      <w:r>
        <w:t xml:space="preserve">statements within Broadband Forum</w:t>
      </w:r>
      <w:r>
        <w:t xml:space="preserve"> </w:t>
      </w:r>
      <w:r>
        <w:t xml:space="preserve">YANG modules. These guidelines are based on the following reference documentation as well as</w:t>
      </w:r>
      <w:r>
        <w:t xml:space="preserve"> </w:t>
      </w:r>
      <w:r>
        <w:t xml:space="preserve">practical usage within Broadband Forum YANG modules:</w:t>
      </w:r>
    </w:p>
    <w:p>
      <w:pPr>
        <w:numPr>
          <w:ilvl w:val="0"/>
          <w:numId w:val="1035"/>
        </w:numPr>
        <w:pStyle w:val="Compact"/>
      </w:pPr>
      <w:r>
        <w:t xml:space="preserve">IEEE Std. 260.1</w:t>
      </w:r>
    </w:p>
    <w:p>
      <w:pPr>
        <w:numPr>
          <w:ilvl w:val="0"/>
          <w:numId w:val="1035"/>
        </w:numPr>
        <w:pStyle w:val="Compact"/>
      </w:pPr>
      <w:hyperlink r:id="rId141">
        <w:r>
          <w:rPr>
            <w:rStyle w:val="Hyperlink"/>
          </w:rPr>
          <w:t xml:space="preserve">NIST Special Publication 811</w:t>
        </w:r>
      </w:hyperlink>
    </w:p>
    <w:bookmarkStart w:id="142" w:name="sec:terminology-1"/>
    <w:p>
      <w:pPr>
        <w:pStyle w:val="Heading3"/>
      </w:pPr>
      <w:r>
        <w:t xml:space="preserve">Terminology</w:t>
      </w:r>
    </w:p>
    <w:p>
      <w:pPr>
        <w:pStyle w:val="FirstParagraph"/>
      </w:pPr>
      <w:r>
        <w:t xml:space="preserve">The following terminology is used throughout these guidelines.</w:t>
      </w:r>
    </w:p>
    <w:tbl>
      <w:tblPr>
        <w:tblStyle w:val="Table"/>
        <w:tblW w:type="pct" w:w="5000"/>
        <w:tblLook w:firstRow="1" w:lastRow="0" w:firstColumn="0" w:lastColumn="0" w:noHBand="0" w:noVBand="0" w:val="0020"/>
        <w:jc w:val="start"/>
        <w:tblLayout w:type="fixed"/>
      </w:tblPr>
      <w:tblGrid>
        <w:gridCol w:w="3017"/>
        <w:gridCol w:w="4902"/>
      </w:tblGrid>
      <w:tr>
        <w:trPr>
          <w:tblHeader w:val="true"/>
        </w:trPr>
        <w:tc>
          <w:tcPr/>
          <w:p>
            <w:pPr>
              <w:pStyle w:val="Compact"/>
              <w:jc w:val="left"/>
            </w:pPr>
            <w:r>
              <w:t xml:space="preserve">Term</w:t>
            </w:r>
          </w:p>
        </w:tc>
        <w:tc>
          <w:tcPr/>
          <w:p>
            <w:pPr>
              <w:pStyle w:val="Compact"/>
              <w:jc w:val="left"/>
            </w:pPr>
            <w:r>
              <w:t xml:space="preserve">Description</w:t>
            </w:r>
          </w:p>
        </w:tc>
      </w:tr>
      <w:tr>
        <w:tc>
          <w:tcPr/>
          <w:p>
            <w:pPr>
              <w:pStyle w:val="Compact"/>
              <w:jc w:val="left"/>
            </w:pPr>
            <w:r>
              <w:t xml:space="preserve">family</w:t>
            </w:r>
          </w:p>
        </w:tc>
        <w:tc>
          <w:tcPr/>
          <w:p>
            <w:pPr>
              <w:pStyle w:val="Compact"/>
              <w:jc w:val="left"/>
            </w:pPr>
            <w:r>
              <w:t xml:space="preserve">refers to a group of</w:t>
            </w:r>
            <w:r>
              <w:t xml:space="preserve"> </w:t>
            </w:r>
            <w:r>
              <w:t xml:space="preserve">‘</w:t>
            </w:r>
            <w:r>
              <w:t xml:space="preserve">units</w:t>
            </w:r>
            <w:r>
              <w:t xml:space="preserve">’</w:t>
            </w:r>
            <w:r>
              <w:t xml:space="preserve"> </w:t>
            </w:r>
            <w:r>
              <w:t xml:space="preserve">statements representing a common functional area including, but not limited to, time, length, temperature, electricity, speed and memory storage</w:t>
            </w:r>
          </w:p>
        </w:tc>
      </w:tr>
      <w:tr>
        <w:tc>
          <w:tcPr/>
          <w:p>
            <w:pPr>
              <w:pStyle w:val="Compact"/>
              <w:jc w:val="left"/>
            </w:pPr>
            <w:r>
              <w:t xml:space="preserve">unit</w:t>
            </w:r>
          </w:p>
        </w:tc>
        <w:tc>
          <w:tcPr/>
          <w:p>
            <w:pPr>
              <w:pStyle w:val="Compact"/>
              <w:jc w:val="left"/>
            </w:pPr>
            <w:r>
              <w:t xml:space="preserve">the full text name of a unit, e.g., seconds, milliwatts</w:t>
            </w:r>
          </w:p>
        </w:tc>
      </w:tr>
      <w:tr>
        <w:tc>
          <w:tcPr/>
          <w:p>
            <w:pPr>
              <w:pStyle w:val="Compact"/>
              <w:jc w:val="left"/>
            </w:pPr>
            <w:r>
              <w:t xml:space="preserve">symbol</w:t>
            </w:r>
          </w:p>
        </w:tc>
        <w:tc>
          <w:tcPr/>
          <w:p>
            <w:pPr>
              <w:pStyle w:val="Compact"/>
              <w:jc w:val="left"/>
            </w:pPr>
            <w:r>
              <w:t xml:space="preserve">the abbreviated form of expressing the units, e.g., mW, dBm</w:t>
            </w:r>
          </w:p>
        </w:tc>
      </w:tr>
    </w:tbl>
    <w:bookmarkEnd w:id="142"/>
    <w:bookmarkStart w:id="143" w:name="sec:units-1-unit-vs-symbol"/>
    <w:p>
      <w:pPr>
        <w:pStyle w:val="Heading3"/>
      </w:pPr>
      <w:r>
        <w:t xml:space="preserve">UNITS-1: Unit vs Symbol</w:t>
      </w:r>
    </w:p>
    <w:p>
      <w:pPr>
        <w:pStyle w:val="FirstParagraph"/>
      </w:pPr>
      <w:r>
        <w:t xml:space="preserve">All</w:t>
      </w:r>
      <w:r>
        <w:t xml:space="preserve"> </w:t>
      </w:r>
      <w:r>
        <w:t xml:space="preserve">‘</w:t>
      </w:r>
      <w:r>
        <w:t xml:space="preserve">units</w:t>
      </w:r>
      <w:r>
        <w:t xml:space="preserve">’</w:t>
      </w:r>
      <w:r>
        <w:t xml:space="preserve"> </w:t>
      </w:r>
      <w:r>
        <w:t xml:space="preserve">statements SHALL use either the</w:t>
      </w:r>
      <w:r>
        <w:t xml:space="preserve"> </w:t>
      </w:r>
      <w:r>
        <w:t xml:space="preserve">“</w:t>
      </w:r>
      <w:r>
        <w:t xml:space="preserve">unit</w:t>
      </w:r>
      <w:r>
        <w:t xml:space="preserve">”</w:t>
      </w:r>
      <w:r>
        <w:t xml:space="preserve"> </w:t>
      </w:r>
      <w:r>
        <w:t xml:space="preserve">or the</w:t>
      </w:r>
      <w:r>
        <w:t xml:space="preserve"> </w:t>
      </w:r>
      <w:r>
        <w:t xml:space="preserve">“</w:t>
      </w:r>
      <w:r>
        <w:t xml:space="preserve">symbol</w:t>
      </w:r>
      <w:r>
        <w:t xml:space="preserve">”</w:t>
      </w:r>
      <w:r>
        <w:t xml:space="preserve"> </w:t>
      </w:r>
      <w:r>
        <w:t xml:space="preserve">as defined in IEEE Std. 260.1 including the proper use of uppercase and lowercase. The chosen method used should be applied consistently within a family of units. In general, the</w:t>
      </w:r>
      <w:r>
        <w:t xml:space="preserve"> </w:t>
      </w:r>
      <w:r>
        <w:t xml:space="preserve">“</w:t>
      </w:r>
      <w:r>
        <w:t xml:space="preserve">unit</w:t>
      </w:r>
      <w:r>
        <w:t xml:space="preserve">”</w:t>
      </w:r>
      <w:r>
        <w:t xml:space="preserve"> </w:t>
      </w:r>
      <w:r>
        <w:t xml:space="preserve">should be used with the</w:t>
      </w:r>
      <w:r>
        <w:t xml:space="preserve"> </w:t>
      </w:r>
      <w:r>
        <w:t xml:space="preserve">“</w:t>
      </w:r>
      <w:r>
        <w:t xml:space="preserve">symbol</w:t>
      </w:r>
      <w:r>
        <w:t xml:space="preserve">”</w:t>
      </w:r>
      <w:r>
        <w:t xml:space="preserve"> </w:t>
      </w:r>
      <w:r>
        <w:t xml:space="preserve">being used on a case-by-case basis. For example, use</w:t>
      </w:r>
      <w:r>
        <w:t xml:space="preserve"> </w:t>
      </w:r>
      <w:r>
        <w:t xml:space="preserve">“</w:t>
      </w:r>
      <w:r>
        <w:t xml:space="preserve">seconds</w:t>
      </w:r>
      <w:r>
        <w:t xml:space="preserve">”</w:t>
      </w:r>
      <w:r>
        <w:t xml:space="preserve"> </w:t>
      </w:r>
      <w:r>
        <w:t xml:space="preserve">or some derivation (see UNITS-3) for time but</w:t>
      </w:r>
      <w:r>
        <w:t xml:space="preserve"> </w:t>
      </w:r>
      <w:r>
        <w:t xml:space="preserve">“</w:t>
      </w:r>
      <w:r>
        <w:t xml:space="preserve">dBm</w:t>
      </w:r>
      <w:r>
        <w:t xml:space="preserve">”</w:t>
      </w:r>
      <w:r>
        <w:t xml:space="preserve"> </w:t>
      </w:r>
      <w:r>
        <w:t xml:space="preserve">for power level as the term</w:t>
      </w:r>
      <w:r>
        <w:t xml:space="preserve"> </w:t>
      </w:r>
      <w:r>
        <w:t xml:space="preserve">“</w:t>
      </w:r>
      <w:r>
        <w:t xml:space="preserve">decibel-milliwatts</w:t>
      </w:r>
      <w:r>
        <w:t xml:space="preserve">”</w:t>
      </w:r>
      <w:r>
        <w:t xml:space="preserve"> </w:t>
      </w:r>
      <w:r>
        <w:t xml:space="preserve">is not commonly used.</w:t>
      </w:r>
    </w:p>
    <w:bookmarkEnd w:id="143"/>
    <w:bookmarkStart w:id="144" w:name="sec:units-2-plural-form"/>
    <w:p>
      <w:pPr>
        <w:pStyle w:val="Heading3"/>
      </w:pPr>
      <w:r>
        <w:t xml:space="preserve">UNITS-2: Plural Form</w:t>
      </w:r>
    </w:p>
    <w:p>
      <w:pPr>
        <w:pStyle w:val="FirstParagraph"/>
      </w:pPr>
      <w:r>
        <w:t xml:space="preserve">Where applicable, the full</w:t>
      </w:r>
      <w:r>
        <w:t xml:space="preserve"> </w:t>
      </w:r>
      <w:r>
        <w:t xml:space="preserve">“</w:t>
      </w:r>
      <w:r>
        <w:t xml:space="preserve">unit</w:t>
      </w:r>
      <w:r>
        <w:t xml:space="preserve">”</w:t>
      </w:r>
      <w:r>
        <w:t xml:space="preserve"> </w:t>
      </w:r>
      <w:r>
        <w:t xml:space="preserve">text SHALL be written in plural form, e.g., seconds vs. second. This differs from the definitions in IEEE Std. 260.1 but aligns with NIST 811 as well as the current practice in industry standard YANG data models.</w:t>
      </w:r>
    </w:p>
    <w:bookmarkEnd w:id="144"/>
    <w:bookmarkStart w:id="145" w:name="sec:units-3-base-vs-derived"/>
    <w:p>
      <w:pPr>
        <w:pStyle w:val="Heading3"/>
      </w:pPr>
      <w:r>
        <w:t xml:space="preserve">UNITS-3: Base vs Derived</w:t>
      </w:r>
    </w:p>
    <w:p>
      <w:pPr>
        <w:pStyle w:val="FirstParagraph"/>
      </w:pPr>
      <w:r>
        <w:t xml:space="preserve">The base unit for a given family may not always be the one that provides the best granularity. For example, it would not be common to express 20 nanoseconds as 0.00000002 seconds as doing so would make readability difficult. In those situations, a</w:t>
      </w:r>
      <w:r>
        <w:t xml:space="preserve"> </w:t>
      </w:r>
      <w:r>
        <w:t xml:space="preserve">“</w:t>
      </w:r>
      <w:r>
        <w:t xml:space="preserve">unit</w:t>
      </w:r>
      <w:r>
        <w:t xml:space="preserve">”</w:t>
      </w:r>
      <w:r>
        <w:t xml:space="preserve"> </w:t>
      </w:r>
      <w:r>
        <w:t xml:space="preserve">derived from the base SHOULD be used where the derived unit is a multiple of 10</w:t>
      </w:r>
      <w:r>
        <w:rPr>
          <w:vertAlign w:val="superscript"/>
        </w:rPr>
        <w:t xml:space="preserve">3</w:t>
      </w:r>
      <w:r>
        <w:t xml:space="preserve"> </w:t>
      </w:r>
      <w:r>
        <w:t xml:space="preserve">from the base, e.g., seconds, milliseconds, nanoseconds.</w:t>
      </w:r>
    </w:p>
    <w:bookmarkEnd w:id="145"/>
    <w:bookmarkStart w:id="146" w:name="sec:units-4-memory"/>
    <w:p>
      <w:pPr>
        <w:pStyle w:val="Heading3"/>
      </w:pPr>
      <w:r>
        <w:t xml:space="preserve">UNITS-4: Memory</w:t>
      </w:r>
    </w:p>
    <w:p>
      <w:pPr>
        <w:pStyle w:val="FirstParagraph"/>
      </w:pPr>
      <w:r>
        <w:t xml:space="preserve">For</w:t>
      </w:r>
      <w:r>
        <w:t xml:space="preserve"> </w:t>
      </w:r>
      <w:r>
        <w:t xml:space="preserve">‘</w:t>
      </w:r>
      <w:r>
        <w:t xml:space="preserve">units</w:t>
      </w:r>
      <w:r>
        <w:t xml:space="preserve">’</w:t>
      </w:r>
      <w:r>
        <w:t xml:space="preserve"> </w:t>
      </w:r>
      <w:r>
        <w:t xml:space="preserve">statements related to memory that need derived units for reasons similar to the usage described in UNITS-3, the derived unit SHALL be a multiple of 2</w:t>
      </w:r>
      <w:r>
        <w:rPr>
          <w:vertAlign w:val="superscript"/>
        </w:rPr>
        <w:t xml:space="preserve">10</w:t>
      </w:r>
      <w:r>
        <w:t xml:space="preserve">, e.g., bytes, kibibytes, mebibytes.</w:t>
      </w:r>
    </w:p>
    <w:bookmarkEnd w:id="146"/>
    <w:bookmarkStart w:id="147" w:name="sec:units-5-unit-combinations"/>
    <w:p>
      <w:pPr>
        <w:pStyle w:val="Heading3"/>
      </w:pPr>
      <w:r>
        <w:t xml:space="preserve">UNITS-5: Unit Combinations</w:t>
      </w:r>
    </w:p>
    <w:p>
      <w:pPr>
        <w:pStyle w:val="FirstParagraph"/>
      </w:pPr>
      <w:r>
        <w:t xml:space="preserve">‘</w:t>
      </w:r>
      <w:r>
        <w:t xml:space="preserve">units</w:t>
      </w:r>
      <w:r>
        <w:t xml:space="preserve">’</w:t>
      </w:r>
      <w:r>
        <w:t xml:space="preserve"> </w:t>
      </w:r>
      <w:r>
        <w:t xml:space="preserve">statements requiring a combination of units SHALL fully spell out the relationship between the units, e.g.,</w:t>
      </w:r>
      <w:r>
        <w:t xml:space="preserve"> </w:t>
      </w:r>
      <w:r>
        <w:t xml:space="preserve">“</w:t>
      </w:r>
      <w:r>
        <w:t xml:space="preserve">bits per second</w:t>
      </w:r>
      <w:r>
        <w:t xml:space="preserve">”</w:t>
      </w:r>
      <w:r>
        <w:t xml:space="preserve"> </w:t>
      </w:r>
      <w:r>
        <w:t xml:space="preserve">rather than</w:t>
      </w:r>
      <w:r>
        <w:t xml:space="preserve"> </w:t>
      </w:r>
      <w:r>
        <w:t xml:space="preserve">“</w:t>
      </w:r>
      <w:r>
        <w:t xml:space="preserve">bits/second</w:t>
      </w:r>
      <w:r>
        <w:t xml:space="preserve">”</w:t>
      </w:r>
      <w:r>
        <w:t xml:space="preserve">. Regarding the applicability of UNITS-2, only the first</w:t>
      </w:r>
      <w:r>
        <w:t xml:space="preserve"> </w:t>
      </w:r>
      <w:r>
        <w:t xml:space="preserve">“</w:t>
      </w:r>
      <w:r>
        <w:t xml:space="preserve">unit</w:t>
      </w:r>
      <w:r>
        <w:t xml:space="preserve">”</w:t>
      </w:r>
      <w:r>
        <w:t xml:space="preserve"> </w:t>
      </w:r>
      <w:r>
        <w:t xml:space="preserve">will be plural in a combination, e.g.,</w:t>
      </w:r>
      <w:r>
        <w:t xml:space="preserve"> </w:t>
      </w:r>
      <w:r>
        <w:t xml:space="preserve">“</w:t>
      </w:r>
      <w:r>
        <w:t xml:space="preserve">bits</w:t>
      </w:r>
      <w:r>
        <w:t xml:space="preserve">”</w:t>
      </w:r>
      <w:r>
        <w:t xml:space="preserve"> </w:t>
      </w:r>
      <w:r>
        <w:t xml:space="preserve">in</w:t>
      </w:r>
      <w:r>
        <w:t xml:space="preserve"> </w:t>
      </w:r>
      <w:r>
        <w:t xml:space="preserve">“</w:t>
      </w:r>
      <w:r>
        <w:t xml:space="preserve">bits per second</w:t>
      </w:r>
      <w:r>
        <w:t xml:space="preserve">”</w:t>
      </w:r>
      <w:r>
        <w:t xml:space="preserve">.</w:t>
      </w:r>
    </w:p>
    <w:bookmarkEnd w:id="147"/>
    <w:bookmarkStart w:id="148" w:name="sec:units-6-equivalent-units"/>
    <w:p>
      <w:pPr>
        <w:pStyle w:val="Heading3"/>
      </w:pPr>
      <w:r>
        <w:t xml:space="preserve">UNITS-6: Equivalent Units</w:t>
      </w:r>
    </w:p>
    <w:p>
      <w:pPr>
        <w:pStyle w:val="FirstParagraph"/>
      </w:pPr>
      <w:r>
        <w:t xml:space="preserve">If more than one</w:t>
      </w:r>
      <w:r>
        <w:t xml:space="preserve"> </w:t>
      </w:r>
      <w:r>
        <w:t xml:space="preserve">“</w:t>
      </w:r>
      <w:r>
        <w:t xml:space="preserve">unit</w:t>
      </w:r>
      <w:r>
        <w:t xml:space="preserve">”</w:t>
      </w:r>
      <w:r>
        <w:t xml:space="preserve"> </w:t>
      </w:r>
      <w:r>
        <w:t xml:space="preserve">definition is applicable for a given type of data, then one should be chosen and applied in a consistent manner. For example, use</w:t>
      </w:r>
      <w:r>
        <w:t xml:space="preserve"> </w:t>
      </w:r>
      <w:r>
        <w:t xml:space="preserve">“</w:t>
      </w:r>
      <w:r>
        <w:t xml:space="preserve">bytes</w:t>
      </w:r>
      <w:r>
        <w:t xml:space="preserve">”</w:t>
      </w:r>
      <w:r>
        <w:t xml:space="preserve"> </w:t>
      </w:r>
      <w:r>
        <w:t xml:space="preserve">instead of</w:t>
      </w:r>
      <w:r>
        <w:t xml:space="preserve"> </w:t>
      </w:r>
      <w:r>
        <w:t xml:space="preserve">“</w:t>
      </w:r>
      <w:r>
        <w:t xml:space="preserve">octets</w:t>
      </w:r>
      <w:r>
        <w:t xml:space="preserve">”</w:t>
      </w:r>
      <w:r>
        <w:t xml:space="preserve">.</w:t>
      </w:r>
    </w:p>
    <w:bookmarkEnd w:id="148"/>
    <w:bookmarkStart w:id="149" w:name="sec:units-7-use-of-decimal64"/>
    <w:p>
      <w:pPr>
        <w:pStyle w:val="Heading3"/>
      </w:pPr>
      <w:r>
        <w:t xml:space="preserve">UNITS-7: Use of decimal64</w:t>
      </w:r>
    </w:p>
    <w:p>
      <w:pPr>
        <w:pStyle w:val="FirstParagraph"/>
      </w:pPr>
      <w:r>
        <w:t xml:space="preserve">For a given data node, a base or</w:t>
      </w:r>
      <w:r>
        <w:t xml:space="preserve"> </w:t>
      </w:r>
      <w:r>
        <w:t xml:space="preserve">“</w:t>
      </w:r>
      <w:r>
        <w:t xml:space="preserve">unit</w:t>
      </w:r>
      <w:r>
        <w:t xml:space="preserve">”</w:t>
      </w:r>
      <w:r>
        <w:t xml:space="preserve"> </w:t>
      </w:r>
      <w:r>
        <w:t xml:space="preserve">along with the decimal64 type SHOULD be used rather than a derived</w:t>
      </w:r>
      <w:r>
        <w:t xml:space="preserve"> </w:t>
      </w:r>
      <w:r>
        <w:t xml:space="preserve">“</w:t>
      </w:r>
      <w:r>
        <w:t xml:space="preserve">unit</w:t>
      </w:r>
      <w:r>
        <w:t xml:space="preserve">”</w:t>
      </w:r>
      <w:r>
        <w:t xml:space="preserve"> </w:t>
      </w:r>
      <w:r>
        <w:t xml:space="preserve">along with an integer type.</w:t>
      </w:r>
    </w:p>
    <w:p>
      <w:pPr>
        <w:pStyle w:val="BodyText"/>
      </w:pPr>
      <w:r>
        <w:t xml:space="preserve">For example, use</w:t>
      </w:r>
    </w:p>
    <w:p>
      <w:pPr>
        <w:pStyle w:val="SourceCode"/>
      </w:pPr>
      <w:r>
        <w:rPr>
          <w:rStyle w:val="VerbatimChar"/>
        </w:rPr>
        <w:t xml:space="preserve">  leaf rx-power {</w:t>
      </w:r>
      <w:r>
        <w:br/>
      </w:r>
      <w:r>
        <w:rPr>
          <w:rStyle w:val="VerbatimChar"/>
        </w:rPr>
        <w:t xml:space="preserve">    type decimal64 {</w:t>
      </w:r>
      <w:r>
        <w:br/>
      </w:r>
      <w:r>
        <w:rPr>
          <w:rStyle w:val="VerbatimChar"/>
        </w:rPr>
        <w:t xml:space="preserve">      fraction-digits 4;</w:t>
      </w:r>
      <w:r>
        <w:br/>
      </w:r>
      <w:r>
        <w:rPr>
          <w:rStyle w:val="VerbatimChar"/>
        </w:rPr>
        <w:t xml:space="preserve">    }</w:t>
      </w:r>
      <w:r>
        <w:br/>
      </w:r>
      <w:r>
        <w:rPr>
          <w:rStyle w:val="VerbatimChar"/>
        </w:rPr>
        <w:t xml:space="preserve">    units "watts";</w:t>
      </w:r>
      <w:r>
        <w:br/>
      </w:r>
      <w:r>
        <w:rPr>
          <w:rStyle w:val="VerbatimChar"/>
        </w:rPr>
        <w:t xml:space="preserve">    description</w:t>
      </w:r>
      <w:r>
        <w:br/>
      </w:r>
      <w:r>
        <w:rPr>
          <w:rStyle w:val="VerbatimChar"/>
        </w:rPr>
        <w:t xml:space="preserve">      "The receive power reported in watts.";</w:t>
      </w:r>
      <w:r>
        <w:br/>
      </w:r>
      <w:r>
        <w:rPr>
          <w:rStyle w:val="VerbatimChar"/>
        </w:rPr>
        <w:t xml:space="preserve">  }</w:t>
      </w:r>
    </w:p>
    <w:p>
      <w:pPr>
        <w:pStyle w:val="FirstParagraph"/>
      </w:pPr>
      <w:r>
        <w:t xml:space="preserve">rather than</w:t>
      </w:r>
    </w:p>
    <w:p>
      <w:pPr>
        <w:pStyle w:val="SourceCode"/>
      </w:pPr>
      <w:r>
        <w:rPr>
          <w:rStyle w:val="VerbatimChar"/>
        </w:rPr>
        <w:t xml:space="preserve">  leaf rx-power {</w:t>
      </w:r>
      <w:r>
        <w:br/>
      </w:r>
      <w:r>
        <w:rPr>
          <w:rStyle w:val="VerbatimChar"/>
        </w:rPr>
        <w:t xml:space="preserve">    type uint32;</w:t>
      </w:r>
      <w:r>
        <w:br/>
      </w:r>
      <w:r>
        <w:rPr>
          <w:rStyle w:val="VerbatimChar"/>
        </w:rPr>
        <w:t xml:space="preserve">    units "0.1 milliwatts";</w:t>
      </w:r>
      <w:r>
        <w:br/>
      </w:r>
      <w:r>
        <w:rPr>
          <w:rStyle w:val="VerbatimChar"/>
        </w:rPr>
        <w:t xml:space="preserve">    description</w:t>
      </w:r>
      <w:r>
        <w:br/>
      </w:r>
      <w:r>
        <w:rPr>
          <w:rStyle w:val="VerbatimChar"/>
        </w:rPr>
        <w:t xml:space="preserve">      "The receive power reported in tenths of a milliwatt.";</w:t>
      </w:r>
      <w:r>
        <w:br/>
      </w:r>
      <w:r>
        <w:rPr>
          <w:rStyle w:val="VerbatimChar"/>
        </w:rPr>
        <w:t xml:space="preserve">  }</w:t>
      </w:r>
    </w:p>
    <w:p>
      <w:pPr>
        <w:pStyle w:val="FirstParagraph"/>
      </w:pPr>
      <w:r>
        <w:t xml:space="preserve">When applying this guideline, along with UNITS-3 and UNITS-4, to already published data models, strict adherence may not always be possible due to backward compatiblity issues. In those cases, express the</w:t>
      </w:r>
      <w:r>
        <w:t xml:space="preserve"> </w:t>
      </w:r>
      <w:r>
        <w:t xml:space="preserve">‘</w:t>
      </w:r>
      <w:r>
        <w:t xml:space="preserve">units</w:t>
      </w:r>
      <w:r>
        <w:t xml:space="preserve">’</w:t>
      </w:r>
      <w:r>
        <w:t xml:space="preserve"> </w:t>
      </w:r>
      <w:r>
        <w:t xml:space="preserve">relative to the closest base or a derived unit, e.g.,</w:t>
      </w:r>
      <w:r>
        <w:t xml:space="preserve"> </w:t>
      </w:r>
      <w:r>
        <w:t xml:space="preserve">“</w:t>
      </w:r>
      <w:r>
        <w:t xml:space="preserve">0.1 seconds</w:t>
      </w:r>
      <w:r>
        <w:t xml:space="preserve">”</w:t>
      </w:r>
      <w:r>
        <w:t xml:space="preserve"> </w:t>
      </w:r>
      <w:r>
        <w:t xml:space="preserve">or</w:t>
      </w:r>
      <w:r>
        <w:t xml:space="preserve"> </w:t>
      </w:r>
      <w:r>
        <w:t xml:space="preserve">“</w:t>
      </w:r>
      <w:r>
        <w:t xml:space="preserve">1/256 milliseconds</w:t>
      </w:r>
      <w:r>
        <w:t xml:space="preserve">”</w:t>
      </w:r>
      <w:r>
        <w:t xml:space="preserve">.</w:t>
      </w:r>
    </w:p>
    <w:bookmarkEnd w:id="149"/>
    <w:bookmarkStart w:id="150" w:name="sec:units-8-exceptions"/>
    <w:p>
      <w:pPr>
        <w:pStyle w:val="Heading3"/>
      </w:pPr>
      <w:r>
        <w:t xml:space="preserve">UNITS-8: Exceptions</w:t>
      </w:r>
    </w:p>
    <w:p>
      <w:pPr>
        <w:pStyle w:val="FirstParagraph"/>
      </w:pPr>
      <w:r>
        <w:t xml:space="preserve">At times, there may be a need to preserve the relationship with an underlying standard that would result in a non-adherence to these guidelines. Such instances should be carefuly evaluated on a case-by-case basis to determine if an exception should be made. For example, in TR-385, several data nodes exist that represent data in</w:t>
      </w:r>
      <w:r>
        <w:t xml:space="preserve"> </w:t>
      </w:r>
      <w:r>
        <w:t xml:space="preserve">“</w:t>
      </w:r>
      <w:r>
        <w:t xml:space="preserve">125 microsecond PHY frames</w:t>
      </w:r>
      <w:r>
        <w:t xml:space="preserve">”</w:t>
      </w:r>
      <w:r>
        <w:t xml:space="preserve">. Application of UNITS-1 would result in</w:t>
      </w:r>
      <w:r>
        <w:t xml:space="preserve"> </w:t>
      </w:r>
      <w:r>
        <w:t xml:space="preserve">‘</w:t>
      </w:r>
      <w:r>
        <w:t xml:space="preserve">units</w:t>
      </w:r>
      <w:r>
        <w:t xml:space="preserve">’</w:t>
      </w:r>
      <w:r>
        <w:t xml:space="preserve"> </w:t>
      </w:r>
      <w:r>
        <w:t xml:space="preserve">statements of either</w:t>
      </w:r>
      <w:r>
        <w:t xml:space="preserve"> </w:t>
      </w:r>
      <w:r>
        <w:t xml:space="preserve">“</w:t>
      </w:r>
      <w:r>
        <w:t xml:space="preserve">125 microseconds</w:t>
      </w:r>
      <w:r>
        <w:t xml:space="preserve">”</w:t>
      </w:r>
      <w:r>
        <w:t xml:space="preserve"> </w:t>
      </w:r>
      <w:r>
        <w:t xml:space="preserve">or</w:t>
      </w:r>
      <w:r>
        <w:t xml:space="preserve"> </w:t>
      </w:r>
      <w:r>
        <w:t xml:space="preserve">“</w:t>
      </w:r>
      <w:r>
        <w:t xml:space="preserve">0.125 milliseconds</w:t>
      </w:r>
      <w:r>
        <w:t xml:space="preserve">”</w:t>
      </w:r>
      <w:r>
        <w:t xml:space="preserve">. However, this would result in a disassociation with the underlying standard where the measurement in</w:t>
      </w:r>
      <w:r>
        <w:t xml:space="preserve"> </w:t>
      </w:r>
      <w:r>
        <w:t xml:space="preserve">“</w:t>
      </w:r>
      <w:r>
        <w:t xml:space="preserve">PHY frames</w:t>
      </w:r>
      <w:r>
        <w:t xml:space="preserve">”</w:t>
      </w:r>
      <w:r>
        <w:t xml:space="preserve"> </w:t>
      </w:r>
      <w:r>
        <w:t xml:space="preserve">is as equally important as is the representation of time.</w:t>
      </w:r>
    </w:p>
    <w:bookmarkEnd w:id="150"/>
    <w:bookmarkStart w:id="151" w:name="X04bb541aae3b3cf33164758e7fb4852ff067084"/>
    <w:p>
      <w:pPr>
        <w:pStyle w:val="Heading3"/>
      </w:pPr>
      <w:r>
        <w:t xml:space="preserve">UNITS-9: Frames vs Packets vs Messages</w:t>
      </w:r>
    </w:p>
    <w:p>
      <w:pPr>
        <w:pStyle w:val="FirstParagraph"/>
      </w:pPr>
      <w:r>
        <w:t xml:space="preserve">The use of</w:t>
      </w:r>
      <w:r>
        <w:t xml:space="preserve"> </w:t>
      </w:r>
      <w:r>
        <w:t xml:space="preserve">“</w:t>
      </w:r>
      <w:r>
        <w:t xml:space="preserve">frames</w:t>
      </w:r>
      <w:r>
        <w:t xml:space="preserve">”</w:t>
      </w:r>
      <w:r>
        <w:t xml:space="preserve">,</w:t>
      </w:r>
      <w:r>
        <w:t xml:space="preserve"> </w:t>
      </w:r>
      <w:r>
        <w:t xml:space="preserve">“</w:t>
      </w:r>
      <w:r>
        <w:t xml:space="preserve">packets</w:t>
      </w:r>
      <w:r>
        <w:t xml:space="preserve">”</w:t>
      </w:r>
      <w:r>
        <w:t xml:space="preserve"> </w:t>
      </w:r>
      <w:r>
        <w:t xml:space="preserve">and</w:t>
      </w:r>
      <w:r>
        <w:t xml:space="preserve"> </w:t>
      </w:r>
      <w:r>
        <w:t xml:space="preserve">“</w:t>
      </w:r>
      <w:r>
        <w:t xml:space="preserve">messages</w:t>
      </w:r>
      <w:r>
        <w:t xml:space="preserve">”</w:t>
      </w:r>
      <w:r>
        <w:t xml:space="preserve"> </w:t>
      </w:r>
      <w:r>
        <w:t xml:space="preserve">SHOULD be applied in a consistent manner based on the following guidelines:</w:t>
      </w:r>
    </w:p>
    <w:p>
      <w:pPr>
        <w:numPr>
          <w:ilvl w:val="0"/>
          <w:numId w:val="1036"/>
        </w:numPr>
        <w:pStyle w:val="Compact"/>
      </w:pPr>
      <w:r>
        <w:t xml:space="preserve">use</w:t>
      </w:r>
      <w:r>
        <w:t xml:space="preserve"> </w:t>
      </w:r>
      <w:r>
        <w:t xml:space="preserve">“</w:t>
      </w:r>
      <w:r>
        <w:t xml:space="preserve">frames</w:t>
      </w:r>
      <w:r>
        <w:t xml:space="preserve">”</w:t>
      </w:r>
      <w:r>
        <w:t xml:space="preserve"> </w:t>
      </w:r>
      <w:r>
        <w:t xml:space="preserve">when referring to layer 2, e.g., Ethernet frames, VLANs, etc.</w:t>
      </w:r>
    </w:p>
    <w:p>
      <w:pPr>
        <w:numPr>
          <w:ilvl w:val="0"/>
          <w:numId w:val="1036"/>
        </w:numPr>
        <w:pStyle w:val="Compact"/>
      </w:pPr>
      <w:r>
        <w:t xml:space="preserve">use</w:t>
      </w:r>
      <w:r>
        <w:t xml:space="preserve"> </w:t>
      </w:r>
      <w:r>
        <w:t xml:space="preserve">“</w:t>
      </w:r>
      <w:r>
        <w:t xml:space="preserve">packets</w:t>
      </w:r>
      <w:r>
        <w:t xml:space="preserve">”</w:t>
      </w:r>
      <w:r>
        <w:t xml:space="preserve"> </w:t>
      </w:r>
      <w:r>
        <w:t xml:space="preserve">when referring to layer 3, e.g., IP packets</w:t>
      </w:r>
    </w:p>
    <w:p>
      <w:pPr>
        <w:numPr>
          <w:ilvl w:val="0"/>
          <w:numId w:val="1036"/>
        </w:numPr>
        <w:pStyle w:val="Compact"/>
      </w:pPr>
      <w:r>
        <w:t xml:space="preserve">use</w:t>
      </w:r>
      <w:r>
        <w:t xml:space="preserve"> </w:t>
      </w:r>
      <w:r>
        <w:t xml:space="preserve">“</w:t>
      </w:r>
      <w:r>
        <w:t xml:space="preserve">messages</w:t>
      </w:r>
      <w:r>
        <w:t xml:space="preserve">”</w:t>
      </w:r>
      <w:r>
        <w:t xml:space="preserve"> </w:t>
      </w:r>
      <w:r>
        <w:t xml:space="preserve">when referring to protocols, e.g., DHCP messages, IGMP messages, etc.</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1"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1"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cp:keywords/>
  <dcterms:created xsi:type="dcterms:W3CDTF">2024-03-12T12:54:23Z</dcterms:created>
  <dcterms:modified xsi:type="dcterms:W3CDTF">2024-03-12T12:54:23Z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January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 Amendment 2</vt:lpwstr>
  </property>
  <property fmtid="{D5CDD505-2E9C-101B-9397-08002B2CF9AE}" pid="20" name="bbfWADsSpec">
    <vt:lpwstr/>
  </property>
  <property fmtid="{D5CDD505-2E9C-101B-9397-08002B2CF9AE}" pid="21" name="bbfWorkArea">
    <vt:lpwstr/>
  </property>
  <property fmtid="{D5CDD505-2E9C-101B-9397-08002B2CF9AE}" pid="22" name="bbfYear">
    <vt:lpwstr>2024</vt:lpwstr>
  </property>
  <property fmtid="{D5CDD505-2E9C-101B-9397-08002B2CF9AE}" pid="23" name="bibliography">
    <vt:lpwstr/>
  </property>
  <property fmtid="{D5CDD505-2E9C-101B-9397-08002B2CF9AE}" pid="24" name="buttons">
    <vt:lpwstr/>
  </property>
  <property fmtid="{D5CDD505-2E9C-101B-9397-08002B2CF9AE}" pid="25" name="citation-style">
    <vt:lpwstr>bbf.csl</vt:lpwstr>
  </property>
  <property fmtid="{D5CDD505-2E9C-101B-9397-08002B2CF9AE}" pid="26" name="copydate">
    <vt:lpwstr>2024</vt:lpwstr>
  </property>
  <property fmtid="{D5CDD505-2E9C-101B-9397-08002B2CF9AE}" pid="27" name="date">
    <vt:lpwstr>Issue Date: January 2024</vt:lpwstr>
  </property>
  <property fmtid="{D5CDD505-2E9C-101B-9397-08002B2CF9AE}" pid="28" name="description-meta">
    <vt:lpwstr>OD-360 – Broadband Forum YANG Modules: A set of YANG modules for managing access networks</vt:lpwstr>
  </property>
  <property fmtid="{D5CDD505-2E9C-101B-9397-08002B2CF9AE}" pid="29" name="doctitle">
    <vt:lpwstr>OD-360 – BBF YANG Best Current Practices</vt:lpwstr>
  </property>
  <property fmtid="{D5CDD505-2E9C-101B-9397-08002B2CF9AE}" pid="30" name="figPrefix">
    <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roject">
    <vt:lpwstr>Broadband Forum YANG Modules</vt:lpwstr>
  </property>
  <property fmtid="{D5CDD505-2E9C-101B-9397-08002B2CF9AE}" pid="41" name="reference-section-title">
    <vt:lpwstr>References</vt:lpwstr>
  </property>
  <property fmtid="{D5CDD505-2E9C-101B-9397-08002B2CF9AE}" pid="42" name="repodesc">
    <vt:lpwstr>Broadband Forum YANG Modules</vt:lpwstr>
  </property>
  <property fmtid="{D5CDD505-2E9C-101B-9397-08002B2CF9AE}" pid="43" name="reponame">
    <vt:lpwstr>yang</vt:lpwstr>
  </property>
  <property fmtid="{D5CDD505-2E9C-101B-9397-08002B2CF9AE}" pid="44" name="secPrefix">
    <vt:lpwstr/>
  </property>
  <property fmtid="{D5CDD505-2E9C-101B-9397-08002B2CF9AE}" pid="45" name="sectionsDepth">
    <vt:lpwstr>-1</vt:lpwstr>
  </property>
  <property fmtid="{D5CDD505-2E9C-101B-9397-08002B2CF9AE}" pid="46" name="shortname">
    <vt:lpwstr>OD-360</vt:lpwstr>
  </property>
  <property fmtid="{D5CDD505-2E9C-101B-9397-08002B2CF9AE}" pid="47" name="siteurl">
    <vt:lpwstr>index.html</vt:lpwstr>
  </property>
  <property fmtid="{D5CDD505-2E9C-101B-9397-08002B2CF9AE}" pid="48" name="status">
    <vt:lpwstr/>
  </property>
  <property fmtid="{D5CDD505-2E9C-101B-9397-08002B2CF9AE}" pid="49" name="subtitle">
    <vt:lpwstr>Issue: 1 Amendment 2 </vt:lpwstr>
  </property>
  <property fmtid="{D5CDD505-2E9C-101B-9397-08002B2CF9AE}" pid="50" name="tagline">
    <vt:lpwstr>A set of YANG modules for managing access networks</vt:lpwstr>
  </property>
  <property fmtid="{D5CDD505-2E9C-101B-9397-08002B2CF9AE}" pid="51" name="tblPrefix">
    <vt:lpwstr/>
  </property>
  <property fmtid="{D5CDD505-2E9C-101B-9397-08002B2CF9AE}" pid="52" name="theme-color">
    <vt:lpwstr>#157878</vt:lpwstr>
  </property>
  <property fmtid="{D5CDD505-2E9C-101B-9397-08002B2CF9AE}" pid="53" name="title-prefix">
    <vt:lpwstr>BBF</vt:lpwstr>
  </property>
  <property fmtid="{D5CDD505-2E9C-101B-9397-08002B2CF9AE}" pid="54" name="titleid">
    <vt:lpwstr>title</vt:lpwstr>
  </property>
  <property fmtid="{D5CDD505-2E9C-101B-9397-08002B2CF9AE}" pid="55" name="uspAcknowledgmentsSpec">
    <vt:lpwstr/>
  </property>
  <property fmtid="{D5CDD505-2E9C-101B-9397-08002B2CF9AE}" pid="56" name="uspEditorsSpec">
    <vt:lpwstr/>
  </property>
  <property fmtid="{D5CDD505-2E9C-101B-9397-08002B2CF9AE}" pid="57" name="uspPSLsSpec">
    <vt:lpwstr/>
  </property>
  <property fmtid="{D5CDD505-2E9C-101B-9397-08002B2CF9AE}" pid="58" name="uspRevisionHistorySpec">
    <vt:lpwstr/>
  </property>
  <property fmtid="{D5CDD505-2E9C-101B-9397-08002B2CF9AE}" pid="59" name="uspWADsSpec">
    <vt:lpwstr/>
  </property>
  <property fmtid="{D5CDD505-2E9C-101B-9397-08002B2CF9AE}" pid="60" name="version">
    <vt:lpwstr/>
  </property>
</Properties>
</file>