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1</w:t>
      </w:r>
      <w:r>
        <w:t xml:space="preserve"> </w:t>
      </w:r>
    </w:p>
    <w:p>
      <w:pPr>
        <w:pStyle w:val="Date"/>
      </w:pPr>
      <w:r>
        <w:t xml:space="preserve">Issue</w:t>
      </w:r>
      <w:r>
        <w:t xml:space="preserve"> </w:t>
      </w:r>
      <w:r>
        <w:t xml:space="preserve">Date:</w:t>
      </w:r>
      <w:r>
        <w:t xml:space="preserve"> </w:t>
      </w: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Layout w:type="fixed"/>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4" w:name="sec:references"/>
    <w:p>
      <w:pPr>
        <w:pStyle w:val="Heading1"/>
      </w:pPr>
      <w:r>
        <w:t xml:space="preserve">References</w:t>
      </w:r>
    </w:p>
    <w:bookmarkStart w:id="33" w:name="refs"/>
    <w:bookmarkStart w:id="28" w:name="ref-RFC7223"/>
    <w:p>
      <w:pPr>
        <w:pStyle w:val="Bibliography"/>
      </w:pPr>
      <w:r>
        <w:t xml:space="preserve">[1]</w:t>
      </w:r>
      <w:r>
        <w:t xml:space="preserve"> </w:t>
      </w:r>
      <w:r>
        <w:t xml:space="preserve">	</w:t>
      </w:r>
      <w:r>
        <w:t xml:space="preserve">RFC 7223,</w:t>
      </w:r>
      <w:r>
        <w:t xml:space="preserve"> </w:t>
      </w:r>
      <w:hyperlink r:id="rId27">
        <w:r>
          <w:rPr>
            <w:rStyle w:val="Hyperlink"/>
            <w:iCs/>
            <w:i/>
          </w:rPr>
          <w:t xml:space="preserve">A YANG Data Model for Interface Management</w:t>
        </w:r>
      </w:hyperlink>
      <w:r>
        <w:t xml:space="preserve">, IETF, 2014</w:t>
      </w:r>
    </w:p>
    <w:bookmarkEnd w:id="28"/>
    <w:bookmarkStart w:id="30" w:name="ref-RFC7950"/>
    <w:p>
      <w:pPr>
        <w:pStyle w:val="Bibliography"/>
      </w:pPr>
      <w:r>
        <w:t xml:space="preserve">[2]</w:t>
      </w:r>
      <w:r>
        <w:t xml:space="preserve"> </w:t>
      </w:r>
      <w:r>
        <w:t xml:space="preserve">	</w:t>
      </w:r>
      <w:r>
        <w:t xml:space="preserve">RFC 7950,</w:t>
      </w:r>
      <w:r>
        <w:t xml:space="preserve"> </w:t>
      </w:r>
      <w:hyperlink r:id="rId29">
        <w:r>
          <w:rPr>
            <w:rStyle w:val="Hyperlink"/>
            <w:iCs/>
            <w:i/>
          </w:rPr>
          <w:t xml:space="preserve">The YANG 1.1 Data Modeling Language</w:t>
        </w:r>
      </w:hyperlink>
      <w:r>
        <w:t xml:space="preserve">, IETF, 2016</w:t>
      </w:r>
    </w:p>
    <w:bookmarkEnd w:id="30"/>
    <w:bookmarkStart w:id="32" w:name="ref-RFC8407"/>
    <w:p>
      <w:pPr>
        <w:pStyle w:val="Bibliography"/>
      </w:pPr>
      <w:r>
        <w:t xml:space="preserve">[3]</w:t>
      </w:r>
      <w:r>
        <w:t xml:space="preserve"> </w:t>
      </w:r>
      <w:r>
        <w:t xml:space="preserve">	</w:t>
      </w:r>
      <w:r>
        <w:t xml:space="preserve">RFC 8407,</w:t>
      </w:r>
      <w:r>
        <w:t xml:space="preserve"> </w:t>
      </w:r>
      <w:hyperlink r:id="rId31">
        <w:r>
          <w:rPr>
            <w:rStyle w:val="Hyperlink"/>
            <w:iCs/>
            <w:i/>
          </w:rPr>
          <w:t xml:space="preserve">Guidelines for Authors and Reviewers of Documents Containing YANG Data Models</w:t>
        </w:r>
      </w:hyperlink>
      <w:r>
        <w:t xml:space="preserve">, IETF, 2018</w:t>
      </w:r>
    </w:p>
    <w:bookmarkEnd w:id="32"/>
    <w:bookmarkEnd w:id="33"/>
    <w:bookmarkEnd w:id="34"/>
    <w:bookmarkStart w:id="36"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5"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5"/>
    <w:bookmarkEnd w:id="36"/>
    <w:bookmarkStart w:id="131"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7"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7"/>
    <w:bookmarkStart w:id="39" w:name="sec:template"/>
    <w:p>
      <w:pPr>
        <w:pStyle w:val="Heading2"/>
      </w:pPr>
      <w:r>
        <w:t xml:space="preserve">Template</w:t>
      </w:r>
    </w:p>
    <w:p>
      <w:pPr>
        <w:pStyle w:val="FirstParagraph"/>
      </w:pPr>
      <w:r>
        <w:t xml:space="preserve">New YANG modules MAY be created from the BBF template as shown here:</w:t>
      </w:r>
      <w:r>
        <w:t xml:space="preserve"> </w:t>
      </w:r>
      <w:hyperlink r:id="rId38">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39"/>
    <w:bookmarkStart w:id="84"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1"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0">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1"/>
    <w:bookmarkStart w:id="46"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2">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3">
        <w:r>
          <w:rPr>
            <w:rStyle w:val="Hyperlink"/>
          </w:rPr>
          <w:t xml:space="preserve">PyPi</w:t>
        </w:r>
      </w:hyperlink>
      <w:r>
        <w:t xml:space="preserve">.</w:t>
      </w:r>
    </w:p>
    <w:p>
      <w:pPr>
        <w:pStyle w:val="BodyText"/>
      </w:pPr>
      <w:r>
        <w:t xml:space="preserve">The GitHub version of the pyang tool is available at</w:t>
      </w:r>
      <w:r>
        <w:t xml:space="preserve"> </w:t>
      </w:r>
      <w:hyperlink r:id="rId44">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5">
        <w:r>
          <w:rPr>
            <w:rStyle w:val="Hyperlink"/>
          </w:rPr>
          <w:t xml:space="preserve">https://hub.docker.com/r/broadbandforum/yangtools</w:t>
        </w:r>
      </w:hyperlink>
    </w:p>
    <w:bookmarkEnd w:id="46"/>
    <w:bookmarkStart w:id="48"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7">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8"/>
    <w:bookmarkStart w:id="50"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49">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0"/>
    <w:bookmarkStart w:id="52"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2"/>
    <w:bookmarkStart w:id="54"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3">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4"/>
    <w:bookmarkStart w:id="61"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6" w:name="sec:namespace"/>
    <w:p>
      <w:pPr>
        <w:pStyle w:val="Heading4"/>
      </w:pPr>
      <w:r>
        <w:t xml:space="preserve">namespace</w:t>
      </w:r>
    </w:p>
    <w:p>
      <w:pPr>
        <w:pStyle w:val="FirstParagraph"/>
      </w:pPr>
      <w:r>
        <w:t xml:space="preserve">See IETF-9.</w:t>
      </w:r>
    </w:p>
    <w:bookmarkEnd w:id="56"/>
    <w:bookmarkStart w:id="57"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7"/>
    <w:bookmarkStart w:id="58"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8"/>
    <w:bookmarkStart w:id="59" w:name="sec:description"/>
    <w:p>
      <w:pPr>
        <w:pStyle w:val="Heading4"/>
      </w:pPr>
      <w:r>
        <w:t xml:space="preserve">description</w:t>
      </w:r>
    </w:p>
    <w:p>
      <w:pPr>
        <w:pStyle w:val="FirstParagraph"/>
      </w:pPr>
      <w:r>
        <w:t xml:space="preserve">See IETF-8.</w:t>
      </w:r>
    </w:p>
    <w:bookmarkEnd w:id="59"/>
    <w:bookmarkStart w:id="60"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0"/>
    <w:bookmarkEnd w:id="61"/>
    <w:bookmarkStart w:id="62"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2"/>
    <w:bookmarkStart w:id="64"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3">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4"/>
    <w:bookmarkStart w:id="66"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6"/>
    <w:bookmarkStart w:id="67"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The exceptions to this are path statements defined in a grouping that reference a node in another grouping. The referenced node will belong to the module(s) where the grouping is used, so the prefix cannot be assumed.</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7"/>
    <w:bookmarkStart w:id="69"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8">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69"/>
    <w:bookmarkStart w:id="71"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0">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1"/>
    <w:bookmarkStart w:id="73"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2">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3"/>
    <w:bookmarkStart w:id="75"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4">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5"/>
    <w:bookmarkStart w:id="77"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6">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7"/>
    <w:bookmarkStart w:id="78"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8"/>
    <w:bookmarkStart w:id="80"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79">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0"/>
    <w:bookmarkStart w:id="82"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1">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2"/>
    <w:bookmarkStart w:id="83"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3"/>
    <w:bookmarkEnd w:id="84"/>
    <w:bookmarkStart w:id="110"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5"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5"/>
    <w:bookmarkStart w:id="86" w:name="sec:bbf-2-line-length"/>
    <w:p>
      <w:pPr>
        <w:pStyle w:val="Heading3"/>
      </w:pPr>
      <w:r>
        <w:t xml:space="preserve">BBF-2: Line Length</w:t>
      </w:r>
    </w:p>
    <w:p>
      <w:pPr>
        <w:pStyle w:val="FirstParagraph"/>
      </w:pPr>
      <w:r>
        <w:t xml:space="preserve">The length of each line of text in a YANG module MUST not exceed 70 characters.</w:t>
      </w:r>
    </w:p>
    <w:bookmarkEnd w:id="86"/>
    <w:bookmarkStart w:id="87"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7"/>
    <w:bookmarkStart w:id="88"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8"/>
    <w:bookmarkStart w:id="89"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89"/>
    <w:bookmarkStart w:id="90"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0"/>
    <w:bookmarkStart w:id="91"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1"/>
    <w:bookmarkStart w:id="92"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2"/>
    <w:bookmarkStart w:id="93"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3"/>
    <w:bookmarkStart w:id="94"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4"/>
    <w:bookmarkStart w:id="95"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95"/>
    <w:bookmarkStart w:id="96"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6"/>
    <w:bookmarkStart w:id="97"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7"/>
    <w:bookmarkStart w:id="98"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break existing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8"/>
    <w:bookmarkStart w:id="102"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99"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99"/>
    <w:bookmarkStart w:id="100"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0"/>
    <w:bookmarkStart w:id="101"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1"/>
    <w:bookmarkEnd w:id="102"/>
    <w:bookmarkStart w:id="103"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3"/>
    <w:bookmarkStart w:id="104"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5"/>
    <w:bookmarkStart w:id="108"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6">
        <w:r>
          <w:rPr>
            <w:rStyle w:val="Hyperlink"/>
            <w:iCs/>
            <w:i/>
          </w:rPr>
          <w:t xml:space="preserve">7.9.3</w:t>
        </w:r>
      </w:hyperlink>
      <w:r>
        <w:rPr>
          <w:iCs/>
          <w:i/>
        </w:rPr>
        <w:t xml:space="preserve"> </w:t>
      </w:r>
      <w:r>
        <w:rPr>
          <w:iCs/>
          <w:i/>
        </w:rPr>
        <w:t xml:space="preserve">and section</w:t>
      </w:r>
      <w:r>
        <w:rPr>
          <w:iCs/>
          <w:i/>
        </w:rPr>
        <w:t xml:space="preserve"> </w:t>
      </w:r>
      <w:hyperlink r:id="rId107">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8"/>
    <w:bookmarkStart w:id="109"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1">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09"/>
    <w:bookmarkEnd w:id="110"/>
    <w:bookmarkStart w:id="118"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1"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1"/>
    <w:bookmarkStart w:id="112"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2"/>
    <w:bookmarkStart w:id="113"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3"/>
    <w:bookmarkStart w:id="114"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4"/>
    <w:bookmarkStart w:id="115"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5"/>
    <w:bookmarkStart w:id="116"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6"/>
    <w:bookmarkStart w:id="117"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7"/>
    <w:bookmarkEnd w:id="118"/>
    <w:bookmarkStart w:id="130"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21"/>
        </w:numPr>
        <w:pStyle w:val="Compact"/>
      </w:pPr>
      <w:r>
        <w:t xml:space="preserve">IEEE Std. 260.1</w:t>
      </w:r>
    </w:p>
    <w:p>
      <w:pPr>
        <w:numPr>
          <w:ilvl w:val="0"/>
          <w:numId w:val="1021"/>
        </w:numPr>
        <w:pStyle w:val="Compact"/>
      </w:pPr>
      <w:hyperlink r:id="rId119">
        <w:r>
          <w:rPr>
            <w:rStyle w:val="Hyperlink"/>
          </w:rPr>
          <w:t xml:space="preserve">NIST Special Publication 811</w:t>
        </w:r>
      </w:hyperlink>
    </w:p>
    <w:bookmarkStart w:id="120"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Layout w:type="fixed"/>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20"/>
    <w:bookmarkStart w:id="121"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21"/>
    <w:bookmarkStart w:id="122"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22"/>
    <w:bookmarkStart w:id="123"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23"/>
    <w:bookmarkStart w:id="124"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24"/>
    <w:bookmarkStart w:id="125"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25"/>
    <w:bookmarkStart w:id="126"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26"/>
    <w:bookmarkStart w:id="127"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27"/>
    <w:bookmarkStart w:id="128"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28"/>
    <w:bookmarkStart w:id="129"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22"/>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22"/>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22"/>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119" Target="https://www.nist.gov/pml/special-publication-811"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119" Target="https://www.nist.gov/pml/special-publication-811"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2023-12-12T14:24:46Z</dcterms:created>
  <dcterms:modified xsi:type="dcterms:W3CDTF">2023-12-12T14:24:46Z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March</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1</vt:lpwstr>
  </property>
  <property fmtid="{D5CDD505-2E9C-101B-9397-08002B2CF9AE}" pid="20" name="bbfWADsSpec">
    <vt:lpwstr/>
  </property>
  <property fmtid="{D5CDD505-2E9C-101B-9397-08002B2CF9AE}" pid="21" name="bbfWorkArea">
    <vt:lpwstr/>
  </property>
  <property fmtid="{D5CDD505-2E9C-101B-9397-08002B2CF9AE}" pid="22" name="bbfYear">
    <vt:lpwstr>2023</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2023</vt:lpwstr>
  </property>
  <property fmtid="{D5CDD505-2E9C-101B-9397-08002B2CF9AE}" pid="27" name="date">
    <vt:lpwstr>Issue Date: March 2023</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1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