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spacing w:after="400"/>
      </w:pPr>
    </w:p>
    <w:p>
      <w:pPr>
        <w:spacing w:after="160"/>
        <w:jc w:val="center"/>
      </w:pPr>
      <w:r>
        <w:drawing>
          <wp:inline xmlns:a="http://schemas.openxmlformats.org/drawingml/2006/main" xmlns:pic="http://schemas.openxmlformats.org/drawingml/2006/picture">
            <wp:extent cx="1280160" cy="1306980"/>
            <wp:docPr id="1" name="Picture 1" descr="Broadgate Option C broad gateway symbol"/>
            <wp:cNvGraphicFramePr>
              <a:graphicFrameLocks noChangeAspect="1"/>
            </wp:cNvGraphicFramePr>
            <a:graphic>
              <a:graphicData uri="http://schemas.openxmlformats.org/drawingml/2006/picture">
                <pic:pic>
                  <pic:nvPicPr>
                    <pic:cNvPr id="0" name="broadgate-app-icon-transparent.png"/>
                    <pic:cNvPicPr/>
                  </pic:nvPicPr>
                  <pic:blipFill>
                    <a:blip r:embed="rId11"/>
                    <a:stretch>
                      <a:fillRect/>
                    </a:stretch>
                  </pic:blipFill>
                  <pic:spPr>
                    <a:xfrm>
                      <a:off x="0" y="0"/>
                      <a:ext cx="1280160" cy="1306980"/>
                    </a:xfrm>
                    <a:prstGeom prst="rect"/>
                  </pic:spPr>
                </pic:pic>
              </a:graphicData>
            </a:graphic>
          </wp:inline>
        </w:drawing>
      </w:r>
    </w:p>
    <w:p>
      <w:pPr>
        <w:spacing w:after="0"/>
        <w:jc w:val="center"/>
      </w:pPr>
      <w:r>
        <w:rPr>
          <w:rFonts w:ascii="Aptos Display" w:hAnsi="Aptos Display"/>
          <w:b/>
          <w:color w:val="02234F"/>
          <w:sz w:val="48"/>
        </w:rPr>
        <w:t>BROADGATE</w:t>
      </w:r>
    </w:p>
    <w:p>
      <w:pPr>
        <w:spacing w:after="60"/>
        <w:jc w:val="center"/>
      </w:pPr>
      <w:r>
        <w:rPr>
          <w:rFonts w:ascii="Aptos" w:hAnsi="Aptos"/>
          <w:b/>
          <w:color w:val="BF8C2A"/>
          <w:sz w:val="22"/>
        </w:rPr>
        <w:t>C O N S U L T I N G</w:t>
      </w:r>
    </w:p>
    <w:p>
      <w:pPr>
        <w:spacing w:after="360"/>
        <w:jc w:val="center"/>
      </w:pPr>
      <w:r>
        <w:rPr>
          <w:rFonts w:ascii="Aptos" w:hAnsi="Aptos"/>
          <w:color w:val="02234F"/>
          <w:sz w:val="18"/>
        </w:rPr>
        <w:t>Your Gateway to Expertise</w:t>
      </w:r>
    </w:p>
    <w:p>
      <w:pPr>
        <w:pStyle w:val="Title"/>
        <w:jc w:val="center"/>
      </w:pPr>
      <w:r>
        <w:t>Brand &amp; Document Style Guide</w:t>
      </w:r>
    </w:p>
    <w:p>
      <w:pPr>
        <w:pStyle w:val="Subtitle"/>
        <w:jc w:val="center"/>
      </w:pPr>
      <w:r>
        <w:t>Version 1.2  |  31 August 2026</w:t>
      </w:r>
    </w:p>
    <w:tbl>
      <w:tblPr>
        <w:tblW w:type="auto" w:w="0"/>
        <w:jc w:val="center"/>
        <w:tblLayout w:type="fixed"/>
        <w:tblLook w:firstColumn="1" w:firstRow="1" w:lastColumn="0" w:lastRow="0" w:noHBand="0" w:noVBand="1" w:val="04A0"/>
        <w:tblBorders>
          <w:top w:val="single" w:sz="1" w:color="EAF0F6"/>
          <w:left w:val="single" w:sz="1" w:color="EAF0F6"/>
          <w:bottom w:val="single" w:sz="1" w:color="EAF0F6"/>
          <w:right w:val="single" w:sz="1" w:color="EAF0F6"/>
          <w:insideH w:val="single" w:sz="1" w:color="EAF0F6"/>
          <w:insideV w:val="single" w:sz="1" w:color="EAF0F6"/>
        </w:tblBorders>
      </w:tblPr>
      <w:tblGrid>
        <w:gridCol w:w="9241"/>
      </w:tblGrid>
      <w:tr>
        <w:tc>
          <w:tcPr>
            <w:tcW w:type="dxa" w:w="9241"/>
            <w:shd w:fill="EAF0F6"/>
            <w:tcMar>
              <w:top w:w="180" w:type="dxa"/>
              <w:start w:w="220" w:type="dxa"/>
              <w:bottom w:w="180" w:type="dxa"/>
              <w:end w:w="220" w:type="dxa"/>
            </w:tcMar>
          </w:tcPr>
          <w:p>
            <w:pPr>
              <w:spacing w:after="60"/>
            </w:pPr>
            <w:r>
              <w:rPr>
                <w:b/>
                <w:color w:val="02234F"/>
                <w:sz w:val="17"/>
              </w:rPr>
              <w:t>BRAND PROMISE</w:t>
            </w:r>
          </w:p>
          <w:p>
            <w:pPr>
              <w:spacing w:after="0"/>
            </w:pPr>
            <w:r>
              <w:rPr>
                <w:b/>
                <w:color w:val="17202A"/>
                <w:sz w:val="22"/>
              </w:rPr>
              <w:t>Broadgate brings strategy, specialist expertise and accountable delivery together for financial-services clients.</w:t>
            </w:r>
          </w:p>
        </w:tc>
      </w:tr>
    </w:tbl>
    <w:p>
      <w:pPr>
        <w:spacing w:after="0"/>
      </w:pPr>
    </w:p>
    <w:p>
      <w:r>
        <w:br w:type="page"/>
      </w:r>
    </w:p>
    <w:p>
      <w:pPr>
        <w:pStyle w:val="Heading1"/>
      </w:pPr>
      <w:r>
        <w:t>1. Brand foundation</w:t>
      </w:r>
    </w:p>
    <w:p>
      <w:pPr>
        <w:pStyle w:val="Heading2"/>
      </w:pPr>
      <w:r>
        <w:t>Positioning</w:t>
      </w:r>
    </w:p>
    <w:p>
      <w:r>
        <w:t>Broadgate Consulting is a UK consulting business serving financial-services organisations, particularly insurance, wealth management and related industries. It works through a managed network of business partners, suppliers and external consultants to deliver joined-up client solutions.</w:t>
      </w:r>
    </w:p>
    <w:p>
      <w:pPr>
        <w:pStyle w:val="Heading2"/>
      </w:pPr>
      <w:r>
        <w:t>Slogan</w:t>
      </w:r>
    </w:p>
    <w:tbl>
      <w:tblPr>
        <w:tblW w:type="auto" w:w="0"/>
        <w:jc w:val="center"/>
        <w:tblLayout w:type="fixed"/>
        <w:tblLook w:firstColumn="1" w:firstRow="1" w:lastColumn="0" w:lastRow="0" w:noHBand="0" w:noVBand="1" w:val="04A0"/>
        <w:tblBorders>
          <w:top w:val="single" w:sz="1" w:color="F6F2E8"/>
          <w:left w:val="single" w:sz="1" w:color="F6F2E8"/>
          <w:bottom w:val="single" w:sz="1" w:color="F6F2E8"/>
          <w:right w:val="single" w:sz="1" w:color="F6F2E8"/>
          <w:insideH w:val="single" w:sz="1" w:color="F6F2E8"/>
          <w:insideV w:val="single" w:sz="1" w:color="F6F2E8"/>
        </w:tblBorders>
      </w:tblPr>
      <w:tblGrid>
        <w:gridCol w:w="9241"/>
      </w:tblGrid>
      <w:tr>
        <w:tc>
          <w:tcPr>
            <w:tcW w:type="dxa" w:w="9241"/>
            <w:shd w:fill="F6F2E8"/>
            <w:tcMar>
              <w:top w:w="180" w:type="dxa"/>
              <w:start w:w="220" w:type="dxa"/>
              <w:bottom w:w="180" w:type="dxa"/>
              <w:end w:w="220" w:type="dxa"/>
            </w:tcMar>
          </w:tcPr>
          <w:p>
            <w:pPr>
              <w:spacing w:after="60"/>
            </w:pPr>
            <w:r>
              <w:rPr>
                <w:b/>
                <w:color w:val="BF8C2A"/>
                <w:sz w:val="17"/>
              </w:rPr>
              <w:t>APPROVED WORDING</w:t>
            </w:r>
          </w:p>
          <w:p>
            <w:pPr>
              <w:spacing w:after="0"/>
            </w:pPr>
            <w:r>
              <w:rPr>
                <w:b/>
                <w:color w:val="17202A"/>
                <w:sz w:val="22"/>
              </w:rPr>
              <w:t>Your Gateway to Expertise</w:t>
            </w:r>
          </w:p>
        </w:tc>
      </w:tr>
    </w:tbl>
    <w:p>
      <w:pPr>
        <w:spacing w:after="0"/>
      </w:pPr>
    </w:p>
    <w:p>
      <w:pPr>
        <w:pStyle w:val="Heading2"/>
      </w:pPr>
      <w:r>
        <w:t>What the identity communicates</w:t>
      </w:r>
    </w:p>
    <w:p>
      <w:pPr>
        <w:pStyle w:val="ListBullet"/>
      </w:pPr>
      <w:r>
        <w:t>Gateway arch — an encompassing offer, protection, access and progress.</w:t>
      </w:r>
    </w:p>
    <w:p>
      <w:pPr>
        <w:pStyle w:val="ListBullet"/>
      </w:pPr>
      <w:r>
        <w:t>Abstract skyline — financial-services relevance and a subtle London connection.</w:t>
      </w:r>
    </w:p>
    <w:p>
      <w:pPr>
        <w:pStyle w:val="ListBullet"/>
      </w:pPr>
      <w:r>
        <w:t>Navy and gold — trust, judgement, quality and understated confidence.</w:t>
      </w:r>
    </w:p>
    <w:p>
      <w:pPr>
        <w:pStyle w:val="ListBullet"/>
      </w:pPr>
      <w:r>
        <w:t>Open central space — clarity, opportunity and room for client outcomes.</w:t>
      </w:r>
    </w:p>
    <w:p>
      <w:pPr>
        <w:pStyle w:val="Heading2"/>
      </w:pPr>
      <w:r>
        <w:t>Voice</w:t>
      </w:r>
    </w:p>
    <w:tbl>
      <w:tblPr>
        <w:tblW w:type="auto" w:w="0"/>
        <w:jc w:val="center"/>
        <w:tblLayout w:type="fixed"/>
        <w:tblLook w:firstColumn="1" w:firstRow="1" w:lastColumn="0" w:lastRow="0" w:noHBand="0" w:noVBand="1" w:val="04A0"/>
        <w:tblBorders>
          <w:top w:val="single" w:sz="4" w:color="D8DEE5"/>
          <w:left w:val="single" w:sz="4" w:color="D8DEE5"/>
          <w:bottom w:val="single" w:sz="4" w:color="D8DEE5"/>
          <w:right w:val="single" w:sz="4" w:color="D8DEE5"/>
          <w:insideH w:val="single" w:sz="4" w:color="D8DEE5"/>
          <w:insideV w:val="single" w:sz="4" w:color="D8DEE5"/>
        </w:tblBorders>
      </w:tblPr>
      <w:tblGrid>
        <w:gridCol w:w="2268"/>
        <w:gridCol w:w="6973"/>
      </w:tblGrid>
      <w:tr>
        <w:tc>
          <w:tcPr>
            <w:tcW w:type="dxa" w:w="2268"/>
            <w:shd w:fill="EAF0F6"/>
            <w:tcMar>
              <w:top w:w="120" w:type="dxa"/>
              <w:start w:w="140" w:type="dxa"/>
              <w:bottom w:w="120" w:type="dxa"/>
              <w:end w:w="140" w:type="dxa"/>
            </w:tcMar>
            <w:vAlign w:val="center"/>
          </w:tcPr>
          <w:p>
            <w:pPr>
              <w:spacing w:after="0"/>
            </w:pPr>
            <w:r>
              <w:rPr>
                <w:b/>
                <w:color w:val="02234F"/>
              </w:rPr>
              <w:t>Clear</w:t>
            </w:r>
          </w:p>
        </w:tc>
        <w:tc>
          <w:tcPr>
            <w:tcW w:type="dxa" w:w="6973"/>
            <w:tcMar>
              <w:top w:w="120" w:type="dxa"/>
              <w:start w:w="140" w:type="dxa"/>
              <w:bottom w:w="120" w:type="dxa"/>
              <w:end w:w="140" w:type="dxa"/>
            </w:tcMar>
            <w:vAlign w:val="center"/>
          </w:tcPr>
          <w:p>
            <w:pPr>
              <w:spacing w:after="0"/>
            </w:pPr>
            <w:r>
              <w:t>Lead with the conclusion; use direct, plain business language.</w:t>
            </w:r>
          </w:p>
        </w:tc>
      </w:tr>
      <w:tr>
        <w:tc>
          <w:tcPr>
            <w:tcW w:type="dxa" w:w="2268"/>
            <w:shd w:fill="EAF0F6"/>
            <w:tcMar>
              <w:top w:w="120" w:type="dxa"/>
              <w:start w:w="140" w:type="dxa"/>
              <w:bottom w:w="120" w:type="dxa"/>
              <w:end w:w="140" w:type="dxa"/>
            </w:tcMar>
            <w:vAlign w:val="center"/>
          </w:tcPr>
          <w:p>
            <w:pPr>
              <w:spacing w:after="0"/>
            </w:pPr>
            <w:r>
              <w:rPr>
                <w:b/>
                <w:color w:val="02234F"/>
              </w:rPr>
              <w:t>Evidence-led</w:t>
            </w:r>
          </w:p>
        </w:tc>
        <w:tc>
          <w:tcPr>
            <w:tcW w:type="dxa" w:w="6973"/>
            <w:tcMar>
              <w:top w:w="120" w:type="dxa"/>
              <w:start w:w="140" w:type="dxa"/>
              <w:bottom w:w="120" w:type="dxa"/>
              <w:end w:w="140" w:type="dxa"/>
            </w:tcMar>
            <w:vAlign w:val="center"/>
          </w:tcPr>
          <w:p>
            <w:pPr>
              <w:spacing w:after="0"/>
            </w:pPr>
            <w:r>
              <w:t>Separate facts, contractual obligations, assumptions and recommendations.</w:t>
            </w:r>
          </w:p>
        </w:tc>
      </w:tr>
      <w:tr>
        <w:tc>
          <w:tcPr>
            <w:tcW w:type="dxa" w:w="2268"/>
            <w:shd w:fill="EAF0F6"/>
            <w:tcMar>
              <w:top w:w="120" w:type="dxa"/>
              <w:start w:w="140" w:type="dxa"/>
              <w:bottom w:w="120" w:type="dxa"/>
              <w:end w:w="140" w:type="dxa"/>
            </w:tcMar>
            <w:vAlign w:val="center"/>
          </w:tcPr>
          <w:p>
            <w:pPr>
              <w:spacing w:after="0"/>
            </w:pPr>
            <w:r>
              <w:rPr>
                <w:b/>
                <w:color w:val="02234F"/>
              </w:rPr>
              <w:t>Pragmatic</w:t>
            </w:r>
          </w:p>
        </w:tc>
        <w:tc>
          <w:tcPr>
            <w:tcW w:type="dxa" w:w="6973"/>
            <w:tcMar>
              <w:top w:w="120" w:type="dxa"/>
              <w:start w:w="140" w:type="dxa"/>
              <w:bottom w:w="120" w:type="dxa"/>
              <w:end w:w="140" w:type="dxa"/>
            </w:tcMar>
            <w:vAlign w:val="center"/>
          </w:tcPr>
          <w:p>
            <w:pPr>
              <w:spacing w:after="0"/>
            </w:pPr>
            <w:r>
              <w:t>Connect advice to decisions, delivery, ownership and outcomes.</w:t>
            </w:r>
          </w:p>
        </w:tc>
      </w:tr>
      <w:tr>
        <w:tc>
          <w:tcPr>
            <w:tcW w:type="dxa" w:w="2268"/>
            <w:shd w:fill="EAF0F6"/>
            <w:tcMar>
              <w:top w:w="120" w:type="dxa"/>
              <w:start w:w="140" w:type="dxa"/>
              <w:bottom w:w="120" w:type="dxa"/>
              <w:end w:w="140" w:type="dxa"/>
            </w:tcMar>
            <w:vAlign w:val="center"/>
          </w:tcPr>
          <w:p>
            <w:pPr>
              <w:spacing w:after="0"/>
            </w:pPr>
            <w:r>
              <w:rPr>
                <w:b/>
                <w:color w:val="02234F"/>
              </w:rPr>
              <w:t>Confident</w:t>
            </w:r>
          </w:p>
        </w:tc>
        <w:tc>
          <w:tcPr>
            <w:tcW w:type="dxa" w:w="6973"/>
            <w:tcMar>
              <w:top w:w="120" w:type="dxa"/>
              <w:start w:w="140" w:type="dxa"/>
              <w:bottom w:w="120" w:type="dxa"/>
              <w:end w:w="140" w:type="dxa"/>
            </w:tcMar>
            <w:vAlign w:val="center"/>
          </w:tcPr>
          <w:p>
            <w:pPr>
              <w:spacing w:after="0"/>
            </w:pPr>
            <w:r>
              <w:t>Be authoritative without sounding inflated, promotional or absolute.</w:t>
            </w:r>
          </w:p>
        </w:tc>
      </w:tr>
    </w:tbl>
    <w:p>
      <w:pPr>
        <w:spacing w:after="0"/>
      </w:pPr>
    </w:p>
    <w:p>
      <w:r>
        <w:br w:type="page"/>
      </w:r>
    </w:p>
    <w:p>
      <w:pPr>
        <w:pStyle w:val="Heading1"/>
      </w:pPr>
      <w:r>
        <w:t>2. Logo system</w:t>
      </w:r>
    </w:p>
    <w:p>
      <w:pPr>
        <w:jc w:val="center"/>
      </w:pPr>
      <w:r>
        <w:drawing>
          <wp:inline xmlns:a="http://schemas.openxmlformats.org/drawingml/2006/main" xmlns:pic="http://schemas.openxmlformats.org/drawingml/2006/picture">
            <wp:extent cx="2011680" cy="2053826"/>
            <wp:docPr id="2" name="Picture 2" descr="Broadgate Option C broad gateway symbol"/>
            <wp:cNvGraphicFramePr>
              <a:graphicFrameLocks noChangeAspect="1"/>
            </wp:cNvGraphicFramePr>
            <a:graphic>
              <a:graphicData uri="http://schemas.openxmlformats.org/drawingml/2006/picture">
                <pic:pic>
                  <pic:nvPicPr>
                    <pic:cNvPr id="0" name="broadgate-app-icon-transparent.png"/>
                    <pic:cNvPicPr/>
                  </pic:nvPicPr>
                  <pic:blipFill>
                    <a:blip r:embed="rId11"/>
                    <a:stretch>
                      <a:fillRect/>
                    </a:stretch>
                  </pic:blipFill>
                  <pic:spPr>
                    <a:xfrm>
                      <a:off x="0" y="0"/>
                      <a:ext cx="2011680" cy="2053826"/>
                    </a:xfrm>
                    <a:prstGeom prst="rect"/>
                  </pic:spPr>
                </pic:pic>
              </a:graphicData>
            </a:graphic>
          </wp:inline>
        </w:drawing>
      </w:r>
    </w:p>
    <w:p>
      <w:pPr>
        <w:pStyle w:val="Subtitle"/>
        <w:jc w:val="center"/>
      </w:pPr>
      <w:r>
        <w:t>Primary symbol</w:t>
      </w:r>
    </w:p>
    <w:p>
      <w:r>
        <w:t>Use the approved Option C broad gateway symbol with the Broadgate wordmark wherever space permits. Its wider form supports the Broadgate name while retaining the established arch and skyline. Use the symbol alone for app icons, avatars, favicons and other compact digital placements.</w:t>
      </w:r>
    </w:p>
    <w:p>
      <w:pPr>
        <w:pStyle w:val="Heading2"/>
      </w:pPr>
      <w:r>
        <w:t>Clear space and minimum size</w:t>
      </w:r>
    </w:p>
    <w:p>
      <w:pPr>
        <w:pStyle w:val="ListBullet"/>
      </w:pPr>
      <w:r>
        <w:t>Keep clear space around the mark equal to at least the width of the gold inner arc.</w:t>
      </w:r>
    </w:p>
    <w:p>
      <w:pPr>
        <w:pStyle w:val="ListBullet"/>
      </w:pPr>
      <w:r>
        <w:t>Do not use the full lockup below 35 mm wide in print or 180 px wide on screen.</w:t>
      </w:r>
    </w:p>
    <w:p>
      <w:pPr>
        <w:pStyle w:val="ListBullet"/>
      </w:pPr>
      <w:r>
        <w:t>Do not use the standalone icon below 16 px; simplify testing at very small sizes.</w:t>
      </w:r>
    </w:p>
    <w:p>
      <w:pPr>
        <w:pStyle w:val="Heading2"/>
      </w:pPr>
      <w:r>
        <w:t>Do not</w:t>
      </w:r>
    </w:p>
    <w:p>
      <w:pPr>
        <w:pStyle w:val="ListBullet"/>
      </w:pPr>
      <w:r>
        <w:t>Alter the approved Option C proportions, rotate, outline or rearrange the mark.</w:t>
      </w:r>
    </w:p>
    <w:p>
      <w:pPr>
        <w:pStyle w:val="ListBullet"/>
      </w:pPr>
      <w:r>
        <w:t>Change the approved navy and gold colours.</w:t>
      </w:r>
    </w:p>
    <w:p>
      <w:pPr>
        <w:pStyle w:val="ListBullet"/>
      </w:pPr>
      <w:r>
        <w:t>Place the mark on a busy image or low-contrast background.</w:t>
      </w:r>
    </w:p>
    <w:p>
      <w:pPr>
        <w:pStyle w:val="ListBullet"/>
      </w:pPr>
      <w:r>
        <w:t>Add shadows, bevels, gradients or unapproved landmark details.</w:t>
      </w:r>
    </w:p>
    <w:p>
      <w:r>
        <w:br w:type="page"/>
      </w:r>
    </w:p>
    <w:p>
      <w:pPr>
        <w:pStyle w:val="Heading1"/>
      </w:pPr>
      <w:r>
        <w:t>3. App icon</w:t>
      </w:r>
    </w:p>
    <w:p>
      <w:pPr>
        <w:jc w:val="center"/>
      </w:pPr>
      <w:r>
        <w:drawing>
          <wp:inline xmlns:a="http://schemas.openxmlformats.org/drawingml/2006/main" xmlns:pic="http://schemas.openxmlformats.org/drawingml/2006/picture">
            <wp:extent cx="2377440" cy="2427249"/>
            <wp:docPr id="3" name="Picture 3" descr="Broadgate Option C broad gateway symbol"/>
            <wp:cNvGraphicFramePr>
              <a:graphicFrameLocks noChangeAspect="1"/>
            </wp:cNvGraphicFramePr>
            <a:graphic>
              <a:graphicData uri="http://schemas.openxmlformats.org/drawingml/2006/picture">
                <pic:pic>
                  <pic:nvPicPr>
                    <pic:cNvPr id="0" name="broadgate-app-icon-transparent.png"/>
                    <pic:cNvPicPr/>
                  </pic:nvPicPr>
                  <pic:blipFill>
                    <a:blip r:embed="rId11"/>
                    <a:stretch>
                      <a:fillRect/>
                    </a:stretch>
                  </pic:blipFill>
                  <pic:spPr>
                    <a:xfrm>
                      <a:off x="0" y="0"/>
                      <a:ext cx="2377440" cy="2427249"/>
                    </a:xfrm>
                    <a:prstGeom prst="rect"/>
                  </pic:spPr>
                </pic:pic>
              </a:graphicData>
            </a:graphic>
          </wp:inline>
        </w:drawing>
      </w:r>
    </w:p>
    <w:p>
      <w:r>
        <w:t>The approved app icon is the standalone gateway-and-skyline symbol on a transparent background. Platform artwork may place it on white, Broadgate Navy or another high-contrast neutral, but the master icon itself should remain transparent.</w:t>
      </w:r>
    </w:p>
    <w:tbl>
      <w:tblPr>
        <w:tblW w:type="auto" w:w="0"/>
        <w:jc w:val="center"/>
        <w:tblLayout w:type="fixed"/>
        <w:tblLook w:firstColumn="1" w:firstRow="1" w:lastColumn="0" w:lastRow="0" w:noHBand="0" w:noVBand="1" w:val="04A0"/>
        <w:tblBorders>
          <w:top w:val="single" w:sz="4" w:color="D8DEE5"/>
          <w:left w:val="single" w:sz="4" w:color="D8DEE5"/>
          <w:bottom w:val="single" w:sz="4" w:color="D8DEE5"/>
          <w:right w:val="single" w:sz="4" w:color="D8DEE5"/>
          <w:insideH w:val="single" w:sz="4" w:color="D8DEE5"/>
          <w:insideV w:val="single" w:sz="4" w:color="D8DEE5"/>
        </w:tblBorders>
      </w:tblPr>
      <w:tblGrid>
        <w:gridCol w:w="2268"/>
        <w:gridCol w:w="6973"/>
      </w:tblGrid>
      <w:tr>
        <w:tc>
          <w:tcPr>
            <w:tcW w:type="dxa" w:w="2268"/>
            <w:shd w:fill="EAF0F6"/>
            <w:tcMar>
              <w:top w:w="120" w:type="dxa"/>
              <w:start w:w="140" w:type="dxa"/>
              <w:bottom w:w="120" w:type="dxa"/>
              <w:end w:w="140" w:type="dxa"/>
            </w:tcMar>
            <w:vAlign w:val="center"/>
          </w:tcPr>
          <w:p>
            <w:pPr>
              <w:spacing w:after="0"/>
            </w:pPr>
            <w:r>
              <w:rPr>
                <w:b/>
                <w:color w:val="02234F"/>
              </w:rPr>
              <w:t>Master asset</w:t>
            </w:r>
          </w:p>
        </w:tc>
        <w:tc>
          <w:tcPr>
            <w:tcW w:type="dxa" w:w="6973"/>
            <w:tcMar>
              <w:top w:w="120" w:type="dxa"/>
              <w:start w:w="140" w:type="dxa"/>
              <w:bottom w:w="120" w:type="dxa"/>
              <w:end w:w="140" w:type="dxa"/>
            </w:tcMar>
            <w:vAlign w:val="center"/>
          </w:tcPr>
          <w:p>
            <w:pPr>
              <w:spacing w:after="0"/>
            </w:pPr>
            <w:r>
              <w:t>brand/assets/icons/broadgate-icon-512x512.png</w:t>
            </w:r>
          </w:p>
        </w:tc>
      </w:tr>
      <w:tr>
        <w:tc>
          <w:tcPr>
            <w:tcW w:type="dxa" w:w="2268"/>
            <w:shd w:fill="EAF0F6"/>
            <w:tcMar>
              <w:top w:w="120" w:type="dxa"/>
              <w:start w:w="140" w:type="dxa"/>
              <w:bottom w:w="120" w:type="dxa"/>
              <w:end w:w="140" w:type="dxa"/>
            </w:tcMar>
            <w:vAlign w:val="center"/>
          </w:tcPr>
          <w:p>
            <w:pPr>
              <w:spacing w:after="0"/>
            </w:pPr>
            <w:r>
              <w:rPr>
                <w:b/>
                <w:color w:val="02234F"/>
              </w:rPr>
              <w:t>Master dimensions</w:t>
            </w:r>
          </w:p>
        </w:tc>
        <w:tc>
          <w:tcPr>
            <w:tcW w:type="dxa" w:w="6973"/>
            <w:tcMar>
              <w:top w:w="120" w:type="dxa"/>
              <w:start w:w="140" w:type="dxa"/>
              <w:bottom w:w="120" w:type="dxa"/>
              <w:end w:w="140" w:type="dxa"/>
            </w:tcMar>
            <w:vAlign w:val="center"/>
          </w:tcPr>
          <w:p>
            <w:pPr>
              <w:spacing w:after="0"/>
            </w:pPr>
            <w:r>
              <w:t>512 × 512 px, RGBA PNG</w:t>
            </w:r>
          </w:p>
        </w:tc>
      </w:tr>
      <w:tr>
        <w:tc>
          <w:tcPr>
            <w:tcW w:type="dxa" w:w="2268"/>
            <w:shd w:fill="EAF0F6"/>
            <w:tcMar>
              <w:top w:w="120" w:type="dxa"/>
              <w:start w:w="140" w:type="dxa"/>
              <w:bottom w:w="120" w:type="dxa"/>
              <w:end w:w="140" w:type="dxa"/>
            </w:tcMar>
            <w:vAlign w:val="center"/>
          </w:tcPr>
          <w:p>
            <w:pPr>
              <w:spacing w:after="0"/>
            </w:pPr>
            <w:r>
              <w:rPr>
                <w:b/>
                <w:color w:val="02234F"/>
              </w:rPr>
              <w:t>Safe area</w:t>
            </w:r>
          </w:p>
        </w:tc>
        <w:tc>
          <w:tcPr>
            <w:tcW w:type="dxa" w:w="6973"/>
            <w:tcMar>
              <w:top w:w="120" w:type="dxa"/>
              <w:start w:w="140" w:type="dxa"/>
              <w:bottom w:w="120" w:type="dxa"/>
              <w:end w:w="140" w:type="dxa"/>
            </w:tcMar>
            <w:vAlign w:val="center"/>
          </w:tcPr>
          <w:p>
            <w:pPr>
              <w:spacing w:after="0"/>
            </w:pPr>
            <w:r>
              <w:t>Keep the complete symbol inside the central 80% of any platform tile.</w:t>
            </w:r>
          </w:p>
        </w:tc>
      </w:tr>
      <w:tr>
        <w:tc>
          <w:tcPr>
            <w:tcW w:type="dxa" w:w="2268"/>
            <w:shd w:fill="EAF0F6"/>
            <w:tcMar>
              <w:top w:w="120" w:type="dxa"/>
              <w:start w:w="140" w:type="dxa"/>
              <w:bottom w:w="120" w:type="dxa"/>
              <w:end w:w="140" w:type="dxa"/>
            </w:tcMar>
            <w:vAlign w:val="center"/>
          </w:tcPr>
          <w:p>
            <w:pPr>
              <w:spacing w:after="0"/>
            </w:pPr>
            <w:r>
              <w:rPr>
                <w:b/>
                <w:color w:val="02234F"/>
              </w:rPr>
              <w:t>Small-size rule</w:t>
            </w:r>
          </w:p>
        </w:tc>
        <w:tc>
          <w:tcPr>
            <w:tcW w:type="dxa" w:w="6973"/>
            <w:tcMar>
              <w:top w:w="120" w:type="dxa"/>
              <w:start w:w="140" w:type="dxa"/>
              <w:bottom w:w="120" w:type="dxa"/>
              <w:end w:w="140" w:type="dxa"/>
            </w:tcMar>
            <w:vAlign w:val="center"/>
          </w:tcPr>
          <w:p>
            <w:pPr>
              <w:spacing w:after="0"/>
            </w:pPr>
            <w:r>
              <w:t>Test at 32 px and 16 px; do not add the company name.</w:t>
            </w:r>
          </w:p>
        </w:tc>
      </w:tr>
    </w:tbl>
    <w:p>
      <w:pPr>
        <w:spacing w:after="0"/>
      </w:pPr>
    </w:p>
    <w:p>
      <w:r>
        <w:br w:type="page"/>
      </w:r>
    </w:p>
    <w:p>
      <w:pPr>
        <w:pStyle w:val="Heading1"/>
      </w:pPr>
      <w:r>
        <w:t>4. Colour palette</w:t>
      </w:r>
    </w:p>
    <w:tbl>
      <w:tblPr>
        <w:tblW w:type="auto" w:w="0"/>
        <w:jc w:val="center"/>
        <w:tblLayout w:type="fixed"/>
        <w:tblLook w:firstColumn="1" w:firstRow="1" w:lastColumn="0" w:lastRow="0" w:noHBand="0" w:noVBand="1" w:val="04A0"/>
        <w:tblBorders>
          <w:top w:val="single" w:sz="5" w:color="D8DEE5"/>
          <w:left w:val="single" w:sz="5" w:color="D8DEE5"/>
          <w:bottom w:val="single" w:sz="5" w:color="D8DEE5"/>
          <w:right w:val="single" w:sz="5" w:color="D8DEE5"/>
          <w:insideH w:val="single" w:sz="5" w:color="D8DEE5"/>
          <w:insideV w:val="single" w:sz="5" w:color="D8DEE5"/>
        </w:tblBorders>
      </w:tblPr>
      <w:tblGrid>
        <w:gridCol w:w="2353"/>
        <w:gridCol w:w="2353"/>
        <w:gridCol w:w="2353"/>
        <w:gridCol w:w="2353"/>
      </w:tblGrid>
      <w:tr>
        <w:trPr>
          <w:tblHeader w:val="true"/>
        </w:trPr>
        <w:tc>
          <w:tcPr>
            <w:tcW w:type="dxa" w:w="1134"/>
            <w:shd w:fill="02234F"/>
            <w:tcMar>
              <w:top w:w="120" w:type="dxa"/>
              <w:start w:w="140" w:type="dxa"/>
              <w:bottom w:w="120" w:type="dxa"/>
              <w:end w:w="140" w:type="dxa"/>
            </w:tcMar>
          </w:tcPr>
          <w:p>
            <w:pPr>
              <w:spacing w:after="0"/>
            </w:pPr>
            <w:r>
              <w:rPr>
                <w:b/>
                <w:color w:val="FFFFFF"/>
              </w:rPr>
              <w:t>Swatch</w:t>
            </w:r>
          </w:p>
        </w:tc>
        <w:tc>
          <w:tcPr>
            <w:tcW w:type="dxa" w:w="1871"/>
            <w:shd w:fill="02234F"/>
            <w:tcMar>
              <w:top w:w="120" w:type="dxa"/>
              <w:start w:w="140" w:type="dxa"/>
              <w:bottom w:w="120" w:type="dxa"/>
              <w:end w:w="140" w:type="dxa"/>
            </w:tcMar>
          </w:tcPr>
          <w:p>
            <w:pPr>
              <w:spacing w:after="0"/>
            </w:pPr>
            <w:r>
              <w:rPr>
                <w:b/>
                <w:color w:val="FFFFFF"/>
              </w:rPr>
              <w:t>Name</w:t>
            </w:r>
          </w:p>
        </w:tc>
        <w:tc>
          <w:tcPr>
            <w:tcW w:type="dxa" w:w="1531"/>
            <w:shd w:fill="02234F"/>
            <w:tcMar>
              <w:top w:w="120" w:type="dxa"/>
              <w:start w:w="140" w:type="dxa"/>
              <w:bottom w:w="120" w:type="dxa"/>
              <w:end w:w="140" w:type="dxa"/>
            </w:tcMar>
          </w:tcPr>
          <w:p>
            <w:pPr>
              <w:spacing w:after="0"/>
            </w:pPr>
            <w:r>
              <w:rPr>
                <w:b/>
                <w:color w:val="FFFFFF"/>
              </w:rPr>
              <w:t>HEX</w:t>
            </w:r>
          </w:p>
        </w:tc>
        <w:tc>
          <w:tcPr>
            <w:tcW w:type="dxa" w:w="4706"/>
            <w:shd w:fill="02234F"/>
            <w:tcMar>
              <w:top w:w="120" w:type="dxa"/>
              <w:start w:w="140" w:type="dxa"/>
              <w:bottom w:w="120" w:type="dxa"/>
              <w:end w:w="140" w:type="dxa"/>
            </w:tcMar>
          </w:tcPr>
          <w:p>
            <w:pPr>
              <w:spacing w:after="0"/>
            </w:pPr>
            <w:r>
              <w:rPr>
                <w:b/>
                <w:color w:val="FFFFFF"/>
              </w:rPr>
              <w:t>Use</w:t>
            </w:r>
          </w:p>
        </w:tc>
      </w:tr>
      <w:tr>
        <w:tc>
          <w:tcPr>
            <w:tcW w:type="dxa" w:w="1134"/>
            <w:tcMar>
              <w:top w:w="120" w:type="dxa"/>
              <w:start w:w="140" w:type="dxa"/>
              <w:bottom w:w="120" w:type="dxa"/>
              <w:end w:w="140" w:type="dxa"/>
            </w:tcMar>
            <w:vAlign w:val="center"/>
            <w:shd w:fill="02234F"/>
          </w:tcPr>
          <w:p>
            <w:pPr>
              <w:spacing w:after="0"/>
            </w:pPr>
            <w:r/>
          </w:p>
        </w:tc>
        <w:tc>
          <w:tcPr>
            <w:tcW w:type="dxa" w:w="1871"/>
            <w:tcMar>
              <w:top w:w="120" w:type="dxa"/>
              <w:start w:w="140" w:type="dxa"/>
              <w:bottom w:w="120" w:type="dxa"/>
              <w:end w:w="140" w:type="dxa"/>
            </w:tcMar>
            <w:vAlign w:val="center"/>
          </w:tcPr>
          <w:p>
            <w:pPr>
              <w:spacing w:after="0"/>
            </w:pPr>
            <w:r>
              <w:t>Broadgate Navy</w:t>
            </w:r>
          </w:p>
        </w:tc>
        <w:tc>
          <w:tcPr>
            <w:tcW w:type="dxa" w:w="1531"/>
            <w:tcMar>
              <w:top w:w="120" w:type="dxa"/>
              <w:start w:w="140" w:type="dxa"/>
              <w:bottom w:w="120" w:type="dxa"/>
              <w:end w:w="140" w:type="dxa"/>
            </w:tcMar>
            <w:vAlign w:val="center"/>
          </w:tcPr>
          <w:p>
            <w:pPr>
              <w:spacing w:after="0"/>
            </w:pPr>
            <w:r>
              <w:t>#02234F</w:t>
            </w:r>
          </w:p>
        </w:tc>
        <w:tc>
          <w:tcPr>
            <w:tcW w:type="dxa" w:w="4706"/>
            <w:tcMar>
              <w:top w:w="120" w:type="dxa"/>
              <w:start w:w="140" w:type="dxa"/>
              <w:bottom w:w="120" w:type="dxa"/>
              <w:end w:w="140" w:type="dxa"/>
            </w:tcMar>
            <w:vAlign w:val="center"/>
          </w:tcPr>
          <w:p>
            <w:pPr>
              <w:spacing w:after="0"/>
            </w:pPr>
            <w:r>
              <w:t>Primary logo, headings, covers, key table headers</w:t>
            </w:r>
          </w:p>
        </w:tc>
      </w:tr>
      <w:tr>
        <w:tc>
          <w:tcPr>
            <w:tcW w:type="dxa" w:w="1134"/>
            <w:tcMar>
              <w:top w:w="120" w:type="dxa"/>
              <w:start w:w="140" w:type="dxa"/>
              <w:bottom w:w="120" w:type="dxa"/>
              <w:end w:w="140" w:type="dxa"/>
            </w:tcMar>
            <w:vAlign w:val="center"/>
            <w:shd w:fill="BF8C2A"/>
          </w:tcPr>
          <w:p>
            <w:pPr>
              <w:spacing w:after="0"/>
            </w:pPr>
            <w:r/>
          </w:p>
        </w:tc>
        <w:tc>
          <w:tcPr>
            <w:tcW w:type="dxa" w:w="1871"/>
            <w:tcMar>
              <w:top w:w="120" w:type="dxa"/>
              <w:start w:w="140" w:type="dxa"/>
              <w:bottom w:w="120" w:type="dxa"/>
              <w:end w:w="140" w:type="dxa"/>
            </w:tcMar>
            <w:vAlign w:val="center"/>
          </w:tcPr>
          <w:p>
            <w:pPr>
              <w:spacing w:after="0"/>
            </w:pPr>
            <w:r>
              <w:t>Broadgate Gold</w:t>
            </w:r>
          </w:p>
        </w:tc>
        <w:tc>
          <w:tcPr>
            <w:tcW w:type="dxa" w:w="1531"/>
            <w:tcMar>
              <w:top w:w="120" w:type="dxa"/>
              <w:start w:w="140" w:type="dxa"/>
              <w:bottom w:w="120" w:type="dxa"/>
              <w:end w:w="140" w:type="dxa"/>
            </w:tcMar>
            <w:vAlign w:val="center"/>
          </w:tcPr>
          <w:p>
            <w:pPr>
              <w:spacing w:after="0"/>
            </w:pPr>
            <w:r>
              <w:t>#BF8C2A</w:t>
            </w:r>
          </w:p>
        </w:tc>
        <w:tc>
          <w:tcPr>
            <w:tcW w:type="dxa" w:w="4706"/>
            <w:tcMar>
              <w:top w:w="120" w:type="dxa"/>
              <w:start w:w="140" w:type="dxa"/>
              <w:bottom w:w="120" w:type="dxa"/>
              <w:end w:w="140" w:type="dxa"/>
            </w:tcMar>
            <w:vAlign w:val="center"/>
          </w:tcPr>
          <w:p>
            <w:pPr>
              <w:spacing w:after="0"/>
            </w:pPr>
            <w:r>
              <w:t>Accent, dividers, selected emphasis</w:t>
            </w:r>
          </w:p>
        </w:tc>
      </w:tr>
      <w:tr>
        <w:tc>
          <w:tcPr>
            <w:tcW w:type="dxa" w:w="1134"/>
            <w:tcMar>
              <w:top w:w="120" w:type="dxa"/>
              <w:start w:w="140" w:type="dxa"/>
              <w:bottom w:w="120" w:type="dxa"/>
              <w:end w:w="140" w:type="dxa"/>
            </w:tcMar>
            <w:vAlign w:val="center"/>
            <w:shd w:fill="17202A"/>
          </w:tcPr>
          <w:p>
            <w:pPr>
              <w:spacing w:after="0"/>
            </w:pPr>
            <w:r/>
          </w:p>
        </w:tc>
        <w:tc>
          <w:tcPr>
            <w:tcW w:type="dxa" w:w="1871"/>
            <w:tcMar>
              <w:top w:w="120" w:type="dxa"/>
              <w:start w:w="140" w:type="dxa"/>
              <w:bottom w:w="120" w:type="dxa"/>
              <w:end w:w="140" w:type="dxa"/>
            </w:tcMar>
            <w:vAlign w:val="center"/>
          </w:tcPr>
          <w:p>
            <w:pPr>
              <w:spacing w:after="0"/>
            </w:pPr>
            <w:r>
              <w:t>Ink</w:t>
            </w:r>
          </w:p>
        </w:tc>
        <w:tc>
          <w:tcPr>
            <w:tcW w:type="dxa" w:w="1531"/>
            <w:tcMar>
              <w:top w:w="120" w:type="dxa"/>
              <w:start w:w="140" w:type="dxa"/>
              <w:bottom w:w="120" w:type="dxa"/>
              <w:end w:w="140" w:type="dxa"/>
            </w:tcMar>
            <w:vAlign w:val="center"/>
          </w:tcPr>
          <w:p>
            <w:pPr>
              <w:spacing w:after="0"/>
            </w:pPr>
            <w:r>
              <w:t>#17202A</w:t>
            </w:r>
          </w:p>
        </w:tc>
        <w:tc>
          <w:tcPr>
            <w:tcW w:type="dxa" w:w="4706"/>
            <w:tcMar>
              <w:top w:w="120" w:type="dxa"/>
              <w:start w:w="140" w:type="dxa"/>
              <w:bottom w:w="120" w:type="dxa"/>
              <w:end w:w="140" w:type="dxa"/>
            </w:tcMar>
            <w:vAlign w:val="center"/>
          </w:tcPr>
          <w:p>
            <w:pPr>
              <w:spacing w:after="0"/>
            </w:pPr>
            <w:r>
              <w:t>Body text</w:t>
            </w:r>
          </w:p>
        </w:tc>
      </w:tr>
      <w:tr>
        <w:tc>
          <w:tcPr>
            <w:tcW w:type="dxa" w:w="1134"/>
            <w:tcMar>
              <w:top w:w="120" w:type="dxa"/>
              <w:start w:w="140" w:type="dxa"/>
              <w:bottom w:w="120" w:type="dxa"/>
              <w:end w:w="140" w:type="dxa"/>
            </w:tcMar>
            <w:vAlign w:val="center"/>
            <w:shd w:fill="566573"/>
          </w:tcPr>
          <w:p>
            <w:pPr>
              <w:spacing w:after="0"/>
            </w:pPr>
            <w:r/>
          </w:p>
        </w:tc>
        <w:tc>
          <w:tcPr>
            <w:tcW w:type="dxa" w:w="1871"/>
            <w:tcMar>
              <w:top w:w="120" w:type="dxa"/>
              <w:start w:w="140" w:type="dxa"/>
              <w:bottom w:w="120" w:type="dxa"/>
              <w:end w:w="140" w:type="dxa"/>
            </w:tcMar>
            <w:vAlign w:val="center"/>
          </w:tcPr>
          <w:p>
            <w:pPr>
              <w:spacing w:after="0"/>
            </w:pPr>
            <w:r>
              <w:t>Slate</w:t>
            </w:r>
          </w:p>
        </w:tc>
        <w:tc>
          <w:tcPr>
            <w:tcW w:type="dxa" w:w="1531"/>
            <w:tcMar>
              <w:top w:w="120" w:type="dxa"/>
              <w:start w:w="140" w:type="dxa"/>
              <w:bottom w:w="120" w:type="dxa"/>
              <w:end w:w="140" w:type="dxa"/>
            </w:tcMar>
            <w:vAlign w:val="center"/>
          </w:tcPr>
          <w:p>
            <w:pPr>
              <w:spacing w:after="0"/>
            </w:pPr>
            <w:r>
              <w:t>#566573</w:t>
            </w:r>
          </w:p>
        </w:tc>
        <w:tc>
          <w:tcPr>
            <w:tcW w:type="dxa" w:w="4706"/>
            <w:tcMar>
              <w:top w:w="120" w:type="dxa"/>
              <w:start w:w="140" w:type="dxa"/>
              <w:bottom w:w="120" w:type="dxa"/>
              <w:end w:w="140" w:type="dxa"/>
            </w:tcMar>
            <w:vAlign w:val="center"/>
          </w:tcPr>
          <w:p>
            <w:pPr>
              <w:spacing w:after="0"/>
            </w:pPr>
            <w:r>
              <w:t>Secondary text and metadata</w:t>
            </w:r>
          </w:p>
        </w:tc>
      </w:tr>
      <w:tr>
        <w:tc>
          <w:tcPr>
            <w:tcW w:type="dxa" w:w="1134"/>
            <w:tcMar>
              <w:top w:w="120" w:type="dxa"/>
              <w:start w:w="140" w:type="dxa"/>
              <w:bottom w:w="120" w:type="dxa"/>
              <w:end w:w="140" w:type="dxa"/>
            </w:tcMar>
            <w:vAlign w:val="center"/>
            <w:shd w:fill="EAF0F6"/>
          </w:tcPr>
          <w:p>
            <w:pPr>
              <w:spacing w:after="0"/>
            </w:pPr>
            <w:r/>
          </w:p>
        </w:tc>
        <w:tc>
          <w:tcPr>
            <w:tcW w:type="dxa" w:w="1871"/>
            <w:tcMar>
              <w:top w:w="120" w:type="dxa"/>
              <w:start w:w="140" w:type="dxa"/>
              <w:bottom w:w="120" w:type="dxa"/>
              <w:end w:w="140" w:type="dxa"/>
            </w:tcMar>
            <w:vAlign w:val="center"/>
          </w:tcPr>
          <w:p>
            <w:pPr>
              <w:spacing w:after="0"/>
            </w:pPr>
            <w:r>
              <w:t>Pale Blue</w:t>
            </w:r>
          </w:p>
        </w:tc>
        <w:tc>
          <w:tcPr>
            <w:tcW w:type="dxa" w:w="1531"/>
            <w:tcMar>
              <w:top w:w="120" w:type="dxa"/>
              <w:start w:w="140" w:type="dxa"/>
              <w:bottom w:w="120" w:type="dxa"/>
              <w:end w:w="140" w:type="dxa"/>
            </w:tcMar>
            <w:vAlign w:val="center"/>
          </w:tcPr>
          <w:p>
            <w:pPr>
              <w:spacing w:after="0"/>
            </w:pPr>
            <w:r>
              <w:t>#EAF0F6</w:t>
            </w:r>
          </w:p>
        </w:tc>
        <w:tc>
          <w:tcPr>
            <w:tcW w:type="dxa" w:w="4706"/>
            <w:tcMar>
              <w:top w:w="120" w:type="dxa"/>
              <w:start w:w="140" w:type="dxa"/>
              <w:bottom w:w="120" w:type="dxa"/>
              <w:end w:w="140" w:type="dxa"/>
            </w:tcMar>
            <w:vAlign w:val="center"/>
          </w:tcPr>
          <w:p>
            <w:pPr>
              <w:spacing w:after="0"/>
            </w:pPr>
            <w:r>
              <w:t>Callouts and subtle section fills</w:t>
            </w:r>
          </w:p>
        </w:tc>
      </w:tr>
      <w:tr>
        <w:tc>
          <w:tcPr>
            <w:tcW w:type="dxa" w:w="1134"/>
            <w:tcMar>
              <w:top w:w="120" w:type="dxa"/>
              <w:start w:w="140" w:type="dxa"/>
              <w:bottom w:w="120" w:type="dxa"/>
              <w:end w:w="140" w:type="dxa"/>
            </w:tcMar>
            <w:vAlign w:val="center"/>
            <w:shd w:fill="F6F2E8"/>
          </w:tcPr>
          <w:p>
            <w:pPr>
              <w:spacing w:after="0"/>
            </w:pPr>
            <w:r/>
          </w:p>
        </w:tc>
        <w:tc>
          <w:tcPr>
            <w:tcW w:type="dxa" w:w="1871"/>
            <w:tcMar>
              <w:top w:w="120" w:type="dxa"/>
              <w:start w:w="140" w:type="dxa"/>
              <w:bottom w:w="120" w:type="dxa"/>
              <w:end w:w="140" w:type="dxa"/>
            </w:tcMar>
            <w:vAlign w:val="center"/>
          </w:tcPr>
          <w:p>
            <w:pPr>
              <w:spacing w:after="0"/>
            </w:pPr>
            <w:r>
              <w:t>Warm Neutral</w:t>
            </w:r>
          </w:p>
        </w:tc>
        <w:tc>
          <w:tcPr>
            <w:tcW w:type="dxa" w:w="1531"/>
            <w:tcMar>
              <w:top w:w="120" w:type="dxa"/>
              <w:start w:w="140" w:type="dxa"/>
              <w:bottom w:w="120" w:type="dxa"/>
              <w:end w:w="140" w:type="dxa"/>
            </w:tcMar>
            <w:vAlign w:val="center"/>
          </w:tcPr>
          <w:p>
            <w:pPr>
              <w:spacing w:after="0"/>
            </w:pPr>
            <w:r>
              <w:t>#F6F2E8</w:t>
            </w:r>
          </w:p>
        </w:tc>
        <w:tc>
          <w:tcPr>
            <w:tcW w:type="dxa" w:w="4706"/>
            <w:tcMar>
              <w:top w:w="120" w:type="dxa"/>
              <w:start w:w="140" w:type="dxa"/>
              <w:bottom w:w="120" w:type="dxa"/>
              <w:end w:w="140" w:type="dxa"/>
            </w:tcMar>
            <w:vAlign w:val="center"/>
          </w:tcPr>
          <w:p>
            <w:pPr>
              <w:spacing w:after="0"/>
            </w:pPr>
            <w:r>
              <w:t>Decision and recommendation highlights</w:t>
            </w:r>
          </w:p>
        </w:tc>
      </w:tr>
    </w:tbl>
    <w:p>
      <w:pPr>
        <w:pStyle w:val="Heading2"/>
      </w:pPr>
      <w:r>
        <w:t>Colour balance</w:t>
      </w:r>
    </w:p>
    <w:p>
      <w:r>
        <w:t>Use white or very light neutral backgrounds for most documents. Let navy carry hierarchy and authority; use gold sparingly as an accent. A useful starting balance is 70% white/light neutral, 25% navy/ink and no more than 5% gold.</w:t>
      </w:r>
    </w:p>
    <w:p>
      <w:pPr>
        <w:pStyle w:val="Heading2"/>
      </w:pPr>
      <w:r>
        <w:t>Accessibility</w:t>
      </w:r>
    </w:p>
    <w:p>
      <w:r>
        <w:t>Use navy or ink for body text on white. Reserve gold for large text, rules, labels and decorative emphasis; do not rely on gold alone for small body copy or status meaning. Always pair status colours with words or icons.</w:t>
      </w:r>
    </w:p>
    <w:p>
      <w:r>
        <w:br w:type="page"/>
      </w:r>
    </w:p>
    <w:p>
      <w:pPr>
        <w:pStyle w:val="Heading1"/>
      </w:pPr>
      <w:r>
        <w:t>5. Typography</w:t>
      </w:r>
    </w:p>
    <w:tbl>
      <w:tblPr>
        <w:tblW w:type="auto" w:w="0"/>
        <w:jc w:val="center"/>
        <w:tblLayout w:type="fixed"/>
        <w:tblLook w:firstColumn="1" w:firstRow="1" w:lastColumn="0" w:lastRow="0" w:noHBand="0" w:noVBand="1" w:val="04A0"/>
        <w:tblBorders>
          <w:top w:val="single" w:sz="4" w:color="D8DEE5"/>
          <w:left w:val="single" w:sz="4" w:color="D8DEE5"/>
          <w:bottom w:val="single" w:sz="4" w:color="D8DEE5"/>
          <w:right w:val="single" w:sz="4" w:color="D8DEE5"/>
          <w:insideH w:val="single" w:sz="4" w:color="D8DEE5"/>
          <w:insideV w:val="single" w:sz="4" w:color="D8DEE5"/>
        </w:tblBorders>
      </w:tblPr>
      <w:tblGrid>
        <w:gridCol w:w="2268"/>
        <w:gridCol w:w="6973"/>
      </w:tblGrid>
      <w:tr>
        <w:tc>
          <w:tcPr>
            <w:tcW w:type="dxa" w:w="2268"/>
            <w:shd w:fill="EAF0F6"/>
            <w:tcMar>
              <w:top w:w="120" w:type="dxa"/>
              <w:start w:w="140" w:type="dxa"/>
              <w:bottom w:w="120" w:type="dxa"/>
              <w:end w:w="140" w:type="dxa"/>
            </w:tcMar>
            <w:vAlign w:val="center"/>
          </w:tcPr>
          <w:p>
            <w:pPr>
              <w:spacing w:after="0"/>
            </w:pPr>
            <w:r>
              <w:rPr>
                <w:b/>
                <w:color w:val="02234F"/>
              </w:rPr>
              <w:t>Primary office font</w:t>
            </w:r>
          </w:p>
        </w:tc>
        <w:tc>
          <w:tcPr>
            <w:tcW w:type="dxa" w:w="6973"/>
            <w:tcMar>
              <w:top w:w="120" w:type="dxa"/>
              <w:start w:w="140" w:type="dxa"/>
              <w:bottom w:w="120" w:type="dxa"/>
              <w:end w:w="140" w:type="dxa"/>
            </w:tcMar>
            <w:vAlign w:val="center"/>
          </w:tcPr>
          <w:p>
            <w:pPr>
              <w:spacing w:after="0"/>
            </w:pPr>
            <w:r>
              <w:t>Aptos — body text, tables and everyday communication</w:t>
            </w:r>
          </w:p>
        </w:tc>
      </w:tr>
      <w:tr>
        <w:tc>
          <w:tcPr>
            <w:tcW w:type="dxa" w:w="2268"/>
            <w:shd w:fill="EAF0F6"/>
            <w:tcMar>
              <w:top w:w="120" w:type="dxa"/>
              <w:start w:w="140" w:type="dxa"/>
              <w:bottom w:w="120" w:type="dxa"/>
              <w:end w:w="140" w:type="dxa"/>
            </w:tcMar>
            <w:vAlign w:val="center"/>
          </w:tcPr>
          <w:p>
            <w:pPr>
              <w:spacing w:after="0"/>
            </w:pPr>
            <w:r>
              <w:rPr>
                <w:b/>
                <w:color w:val="02234F"/>
              </w:rPr>
              <w:t>Display font</w:t>
            </w:r>
          </w:p>
        </w:tc>
        <w:tc>
          <w:tcPr>
            <w:tcW w:type="dxa" w:w="6973"/>
            <w:tcMar>
              <w:top w:w="120" w:type="dxa"/>
              <w:start w:w="140" w:type="dxa"/>
              <w:bottom w:w="120" w:type="dxa"/>
              <w:end w:w="140" w:type="dxa"/>
            </w:tcMar>
            <w:vAlign w:val="center"/>
          </w:tcPr>
          <w:p>
            <w:pPr>
              <w:spacing w:after="0"/>
            </w:pPr>
            <w:r>
              <w:t>Aptos Display — titles and major headings</w:t>
            </w:r>
          </w:p>
        </w:tc>
      </w:tr>
      <w:tr>
        <w:tc>
          <w:tcPr>
            <w:tcW w:type="dxa" w:w="2268"/>
            <w:shd w:fill="EAF0F6"/>
            <w:tcMar>
              <w:top w:w="120" w:type="dxa"/>
              <w:start w:w="140" w:type="dxa"/>
              <w:bottom w:w="120" w:type="dxa"/>
              <w:end w:w="140" w:type="dxa"/>
            </w:tcMar>
            <w:vAlign w:val="center"/>
          </w:tcPr>
          <w:p>
            <w:pPr>
              <w:spacing w:after="0"/>
            </w:pPr>
            <w:r>
              <w:rPr>
                <w:b/>
                <w:color w:val="02234F"/>
              </w:rPr>
              <w:t>Compatibility fallback</w:t>
            </w:r>
          </w:p>
        </w:tc>
        <w:tc>
          <w:tcPr>
            <w:tcW w:type="dxa" w:w="6973"/>
            <w:tcMar>
              <w:top w:w="120" w:type="dxa"/>
              <w:start w:w="140" w:type="dxa"/>
              <w:bottom w:w="120" w:type="dxa"/>
              <w:end w:w="140" w:type="dxa"/>
            </w:tcMar>
            <w:vAlign w:val="center"/>
          </w:tcPr>
          <w:p>
            <w:pPr>
              <w:spacing w:after="0"/>
            </w:pPr>
            <w:r>
              <w:t>Arial — use when Aptos is unavailable</w:t>
            </w:r>
          </w:p>
        </w:tc>
      </w:tr>
      <w:tr>
        <w:tc>
          <w:tcPr>
            <w:tcW w:type="dxa" w:w="2268"/>
            <w:shd w:fill="EAF0F6"/>
            <w:tcMar>
              <w:top w:w="120" w:type="dxa"/>
              <w:start w:w="140" w:type="dxa"/>
              <w:bottom w:w="120" w:type="dxa"/>
              <w:end w:w="140" w:type="dxa"/>
            </w:tcMar>
            <w:vAlign w:val="center"/>
          </w:tcPr>
          <w:p>
            <w:pPr>
              <w:spacing w:after="0"/>
            </w:pPr>
            <w:r>
              <w:rPr>
                <w:b/>
                <w:color w:val="02234F"/>
              </w:rPr>
              <w:t>Optional formal accent</w:t>
            </w:r>
          </w:p>
        </w:tc>
        <w:tc>
          <w:tcPr>
            <w:tcW w:type="dxa" w:w="6973"/>
            <w:tcMar>
              <w:top w:w="120" w:type="dxa"/>
              <w:start w:w="140" w:type="dxa"/>
              <w:bottom w:w="120" w:type="dxa"/>
              <w:end w:w="140" w:type="dxa"/>
            </w:tcMar>
            <w:vAlign w:val="center"/>
          </w:tcPr>
          <w:p>
            <w:pPr>
              <w:spacing w:after="0"/>
            </w:pPr>
            <w:r>
              <w:t>Georgia — limited to selected editorial titles, never body text</w:t>
            </w:r>
          </w:p>
        </w:tc>
      </w:tr>
    </w:tbl>
    <w:p>
      <w:pPr>
        <w:spacing w:after="0"/>
      </w:pPr>
    </w:p>
    <w:p>
      <w:pPr>
        <w:pStyle w:val="Heading2"/>
      </w:pPr>
      <w:r>
        <w:t>Recommended scale</w:t>
      </w:r>
    </w:p>
    <w:tbl>
      <w:tblPr>
        <w:tblW w:type="auto" w:w="0"/>
        <w:jc w:val="center"/>
        <w:tblLayout w:type="fixed"/>
        <w:tblLook w:firstColumn="1" w:firstRow="1" w:lastColumn="0" w:lastRow="0" w:noHBand="0" w:noVBand="1" w:val="04A0"/>
        <w:tblBorders>
          <w:top w:val="single" w:sz="5" w:color="D8DEE5"/>
          <w:left w:val="single" w:sz="5" w:color="D8DEE5"/>
          <w:bottom w:val="single" w:sz="5" w:color="D8DEE5"/>
          <w:right w:val="single" w:sz="5" w:color="D8DEE5"/>
          <w:insideH w:val="single" w:sz="5" w:color="D8DEE5"/>
          <w:insideV w:val="single" w:sz="5" w:color="D8DEE5"/>
        </w:tblBorders>
      </w:tblPr>
      <w:tblGrid>
        <w:gridCol w:w="3137"/>
        <w:gridCol w:w="3137"/>
        <w:gridCol w:w="3137"/>
      </w:tblGrid>
      <w:tr>
        <w:trPr>
          <w:tblHeader w:val="true"/>
        </w:trPr>
        <w:tc>
          <w:tcPr>
            <w:tcW w:type="dxa" w:w="2835"/>
            <w:tcMar>
              <w:top w:w="120" w:type="dxa"/>
              <w:start w:w="140" w:type="dxa"/>
              <w:bottom w:w="120" w:type="dxa"/>
              <w:end w:w="140" w:type="dxa"/>
            </w:tcMar>
            <w:shd w:fill="02234F"/>
          </w:tcPr>
          <w:p>
            <w:pPr>
              <w:spacing w:after="0"/>
            </w:pPr>
            <w:r>
              <w:rPr>
                <w:b/>
                <w:color w:val="FFFFFF"/>
              </w:rPr>
              <w:t>Role</w:t>
            </w:r>
          </w:p>
        </w:tc>
        <w:tc>
          <w:tcPr>
            <w:tcW w:type="dxa" w:w="1814"/>
            <w:tcMar>
              <w:top w:w="120" w:type="dxa"/>
              <w:start w:w="140" w:type="dxa"/>
              <w:bottom w:w="120" w:type="dxa"/>
              <w:end w:w="140" w:type="dxa"/>
            </w:tcMar>
            <w:shd w:fill="02234F"/>
          </w:tcPr>
          <w:p>
            <w:pPr>
              <w:spacing w:after="0"/>
            </w:pPr>
            <w:r>
              <w:rPr>
                <w:b/>
                <w:color w:val="FFFFFF"/>
              </w:rPr>
              <w:t>Size</w:t>
            </w:r>
          </w:p>
        </w:tc>
        <w:tc>
          <w:tcPr>
            <w:tcW w:type="dxa" w:w="4592"/>
            <w:tcMar>
              <w:top w:w="120" w:type="dxa"/>
              <w:start w:w="140" w:type="dxa"/>
              <w:bottom w:w="120" w:type="dxa"/>
              <w:end w:w="140" w:type="dxa"/>
            </w:tcMar>
            <w:shd w:fill="02234F"/>
          </w:tcPr>
          <w:p>
            <w:pPr>
              <w:spacing w:after="0"/>
            </w:pPr>
            <w:r>
              <w:rPr>
                <w:b/>
                <w:color w:val="FFFFFF"/>
              </w:rPr>
              <w:t>Treatment</w:t>
            </w:r>
          </w:p>
        </w:tc>
      </w:tr>
      <w:tr>
        <w:tc>
          <w:tcPr>
            <w:tcW w:type="dxa" w:w="2835"/>
            <w:tcMar>
              <w:top w:w="120" w:type="dxa"/>
              <w:start w:w="140" w:type="dxa"/>
              <w:bottom w:w="120" w:type="dxa"/>
              <w:end w:w="140" w:type="dxa"/>
            </w:tcMar>
          </w:tcPr>
          <w:p>
            <w:pPr>
              <w:spacing w:after="0"/>
            </w:pPr>
            <w:r>
              <w:t>Cover title</w:t>
            </w:r>
          </w:p>
        </w:tc>
        <w:tc>
          <w:tcPr>
            <w:tcW w:type="dxa" w:w="1814"/>
            <w:tcMar>
              <w:top w:w="120" w:type="dxa"/>
              <w:start w:w="140" w:type="dxa"/>
              <w:bottom w:w="120" w:type="dxa"/>
              <w:end w:w="140" w:type="dxa"/>
            </w:tcMar>
          </w:tcPr>
          <w:p>
            <w:pPr>
              <w:spacing w:after="0"/>
            </w:pPr>
            <w:r>
              <w:t>26–30 pt</w:t>
            </w:r>
          </w:p>
        </w:tc>
        <w:tc>
          <w:tcPr>
            <w:tcW w:type="dxa" w:w="4592"/>
            <w:tcMar>
              <w:top w:w="120" w:type="dxa"/>
              <w:start w:w="140" w:type="dxa"/>
              <w:bottom w:w="120" w:type="dxa"/>
              <w:end w:w="140" w:type="dxa"/>
            </w:tcMar>
          </w:tcPr>
          <w:p>
            <w:pPr>
              <w:spacing w:after="0"/>
            </w:pPr>
            <w:r>
              <w:t>Aptos Display Bold, navy</w:t>
            </w:r>
          </w:p>
        </w:tc>
      </w:tr>
      <w:tr>
        <w:tc>
          <w:tcPr>
            <w:tcW w:type="dxa" w:w="2835"/>
            <w:tcMar>
              <w:top w:w="120" w:type="dxa"/>
              <w:start w:w="140" w:type="dxa"/>
              <w:bottom w:w="120" w:type="dxa"/>
              <w:end w:w="140" w:type="dxa"/>
            </w:tcMar>
          </w:tcPr>
          <w:p>
            <w:pPr>
              <w:spacing w:after="0"/>
            </w:pPr>
            <w:r>
              <w:t>Heading 1</w:t>
            </w:r>
          </w:p>
        </w:tc>
        <w:tc>
          <w:tcPr>
            <w:tcW w:type="dxa" w:w="1814"/>
            <w:tcMar>
              <w:top w:w="120" w:type="dxa"/>
              <w:start w:w="140" w:type="dxa"/>
              <w:bottom w:w="120" w:type="dxa"/>
              <w:end w:w="140" w:type="dxa"/>
            </w:tcMar>
          </w:tcPr>
          <w:p>
            <w:pPr>
              <w:spacing w:after="0"/>
            </w:pPr>
            <w:r>
              <w:t>17 pt</w:t>
            </w:r>
          </w:p>
        </w:tc>
        <w:tc>
          <w:tcPr>
            <w:tcW w:type="dxa" w:w="4592"/>
            <w:tcMar>
              <w:top w:w="120" w:type="dxa"/>
              <w:start w:w="140" w:type="dxa"/>
              <w:bottom w:w="120" w:type="dxa"/>
              <w:end w:w="140" w:type="dxa"/>
            </w:tcMar>
          </w:tcPr>
          <w:p>
            <w:pPr>
              <w:spacing w:after="0"/>
            </w:pPr>
            <w:r>
              <w:t>Aptos Display Bold, navy</w:t>
            </w:r>
          </w:p>
        </w:tc>
      </w:tr>
      <w:tr>
        <w:tc>
          <w:tcPr>
            <w:tcW w:type="dxa" w:w="2835"/>
            <w:tcMar>
              <w:top w:w="120" w:type="dxa"/>
              <w:start w:w="140" w:type="dxa"/>
              <w:bottom w:w="120" w:type="dxa"/>
              <w:end w:w="140" w:type="dxa"/>
            </w:tcMar>
          </w:tcPr>
          <w:p>
            <w:pPr>
              <w:spacing w:after="0"/>
            </w:pPr>
            <w:r>
              <w:t>Heading 2</w:t>
            </w:r>
          </w:p>
        </w:tc>
        <w:tc>
          <w:tcPr>
            <w:tcW w:type="dxa" w:w="1814"/>
            <w:tcMar>
              <w:top w:w="120" w:type="dxa"/>
              <w:start w:w="140" w:type="dxa"/>
              <w:bottom w:w="120" w:type="dxa"/>
              <w:end w:w="140" w:type="dxa"/>
            </w:tcMar>
          </w:tcPr>
          <w:p>
            <w:pPr>
              <w:spacing w:after="0"/>
            </w:pPr>
            <w:r>
              <w:t>13 pt</w:t>
            </w:r>
          </w:p>
        </w:tc>
        <w:tc>
          <w:tcPr>
            <w:tcW w:type="dxa" w:w="4592"/>
            <w:tcMar>
              <w:top w:w="120" w:type="dxa"/>
              <w:start w:w="140" w:type="dxa"/>
              <w:bottom w:w="120" w:type="dxa"/>
              <w:end w:w="140" w:type="dxa"/>
            </w:tcMar>
          </w:tcPr>
          <w:p>
            <w:pPr>
              <w:spacing w:after="0"/>
            </w:pPr>
            <w:r>
              <w:t>Aptos Display Bold, navy</w:t>
            </w:r>
          </w:p>
        </w:tc>
      </w:tr>
      <w:tr>
        <w:tc>
          <w:tcPr>
            <w:tcW w:type="dxa" w:w="2835"/>
            <w:tcMar>
              <w:top w:w="120" w:type="dxa"/>
              <w:start w:w="140" w:type="dxa"/>
              <w:bottom w:w="120" w:type="dxa"/>
              <w:end w:w="140" w:type="dxa"/>
            </w:tcMar>
          </w:tcPr>
          <w:p>
            <w:pPr>
              <w:spacing w:after="0"/>
            </w:pPr>
            <w:r>
              <w:t>Heading 3</w:t>
            </w:r>
          </w:p>
        </w:tc>
        <w:tc>
          <w:tcPr>
            <w:tcW w:type="dxa" w:w="1814"/>
            <w:tcMar>
              <w:top w:w="120" w:type="dxa"/>
              <w:start w:w="140" w:type="dxa"/>
              <w:bottom w:w="120" w:type="dxa"/>
              <w:end w:w="140" w:type="dxa"/>
            </w:tcMar>
          </w:tcPr>
          <w:p>
            <w:pPr>
              <w:spacing w:after="0"/>
            </w:pPr>
            <w:r>
              <w:t>11 pt</w:t>
            </w:r>
          </w:p>
        </w:tc>
        <w:tc>
          <w:tcPr>
            <w:tcW w:type="dxa" w:w="4592"/>
            <w:tcMar>
              <w:top w:w="120" w:type="dxa"/>
              <w:start w:w="140" w:type="dxa"/>
              <w:bottom w:w="120" w:type="dxa"/>
              <w:end w:w="140" w:type="dxa"/>
            </w:tcMar>
          </w:tcPr>
          <w:p>
            <w:pPr>
              <w:spacing w:after="0"/>
            </w:pPr>
            <w:r>
              <w:t>Aptos Bold, gold</w:t>
            </w:r>
          </w:p>
        </w:tc>
      </w:tr>
      <w:tr>
        <w:tc>
          <w:tcPr>
            <w:tcW w:type="dxa" w:w="2835"/>
            <w:tcMar>
              <w:top w:w="120" w:type="dxa"/>
              <w:start w:w="140" w:type="dxa"/>
              <w:bottom w:w="120" w:type="dxa"/>
              <w:end w:w="140" w:type="dxa"/>
            </w:tcMar>
          </w:tcPr>
          <w:p>
            <w:pPr>
              <w:spacing w:after="0"/>
            </w:pPr>
            <w:r>
              <w:t>Body</w:t>
            </w:r>
          </w:p>
        </w:tc>
        <w:tc>
          <w:tcPr>
            <w:tcW w:type="dxa" w:w="1814"/>
            <w:tcMar>
              <w:top w:w="120" w:type="dxa"/>
              <w:start w:w="140" w:type="dxa"/>
              <w:bottom w:w="120" w:type="dxa"/>
              <w:end w:w="140" w:type="dxa"/>
            </w:tcMar>
          </w:tcPr>
          <w:p>
            <w:pPr>
              <w:spacing w:after="0"/>
            </w:pPr>
            <w:r>
              <w:t>10.5–11 pt</w:t>
            </w:r>
          </w:p>
        </w:tc>
        <w:tc>
          <w:tcPr>
            <w:tcW w:type="dxa" w:w="4592"/>
            <w:tcMar>
              <w:top w:w="120" w:type="dxa"/>
              <w:start w:w="140" w:type="dxa"/>
              <w:bottom w:w="120" w:type="dxa"/>
              <w:end w:w="140" w:type="dxa"/>
            </w:tcMar>
          </w:tcPr>
          <w:p>
            <w:pPr>
              <w:spacing w:after="0"/>
            </w:pPr>
            <w:r>
              <w:t>Aptos Regular, ink</w:t>
            </w:r>
          </w:p>
        </w:tc>
      </w:tr>
      <w:tr>
        <w:tc>
          <w:tcPr>
            <w:tcW w:type="dxa" w:w="3137"/>
          </w:tcPr>
          <w:p>
            <w:r>
              <w:rPr>
                <w:rFonts w:ascii="Aptos" w:hAnsi="Aptos"/>
                <w:sz w:val="16"/>
              </w:rPr>
              <w:t>EMAIL-SIGNATURE SLOGAN</w:t>
            </w:r>
          </w:p>
        </w:tc>
        <w:tc>
          <w:tcPr>
            <w:tcW w:type="dxa" w:w="3137"/>
          </w:tcPr>
          <w:p>
            <w:r>
              <w:rPr>
                <w:rFonts w:ascii="Aptos" w:hAnsi="Aptos"/>
                <w:sz w:val="16"/>
              </w:rPr>
              <w:t>7 pt</w:t>
            </w:r>
          </w:p>
        </w:tc>
        <w:tc>
          <w:tcPr>
            <w:tcW w:type="dxa" w:w="3137"/>
          </w:tcPr>
          <w:p>
            <w:r>
              <w:rPr>
                <w:rFonts w:ascii="Aptos" w:hAnsi="Aptos"/>
                <w:sz w:val="16"/>
              </w:rPr>
              <w:t>Aptos Regular, navy</w:t>
            </w:r>
          </w:p>
        </w:tc>
      </w:tr>
    </w:tbl>
    <w:p>
      <w:r>
        <w:br w:type="page"/>
      </w:r>
    </w:p>
    <w:p>
      <w:pPr>
        <w:pStyle w:val="Heading1"/>
      </w:pPr>
      <w:r>
        <w:t>6. Document system</w:t>
      </w:r>
    </w:p>
    <w:p>
      <w:r>
        <w:t>Use the Broadgate Corporate Document Template as the starting point for proposals, reports, white papers, decision papers and formal client communications. Remove guidance text and unused sections before issue.</w:t>
      </w:r>
    </w:p>
    <w:p>
      <w:pPr>
        <w:pStyle w:val="Heading2"/>
      </w:pPr>
      <w:r>
        <w:t>Document principles</w:t>
      </w:r>
    </w:p>
    <w:p>
      <w:pPr>
        <w:pStyle w:val="ListBullet"/>
      </w:pPr>
      <w:r>
        <w:t>Lead with the outcome: state the recommendation, key message or client ask early.</w:t>
      </w:r>
    </w:p>
    <w:p>
      <w:pPr>
        <w:pStyle w:val="ListBullet"/>
      </w:pPr>
      <w:r>
        <w:t>Keep one clear heading hierarchy and use built-in Word styles.</w:t>
      </w:r>
    </w:p>
    <w:p>
      <w:pPr>
        <w:pStyle w:val="ListBullet"/>
      </w:pPr>
      <w:r>
        <w:t>Use tables for genuinely comparable information, not as decoration.</w:t>
      </w:r>
    </w:p>
    <w:p>
      <w:pPr>
        <w:pStyle w:val="ListBullet"/>
      </w:pPr>
      <w:r>
        <w:t>Label assumptions, dependencies, risks and decisions explicitly.</w:t>
      </w:r>
    </w:p>
    <w:p>
      <w:pPr>
        <w:pStyle w:val="ListBullet"/>
      </w:pPr>
      <w:r>
        <w:t>Use A4 pages, restrained white space and short paragraphs for executive readability.</w:t>
      </w:r>
    </w:p>
    <w:p>
      <w:pPr>
        <w:pStyle w:val="ListBullet"/>
      </w:pPr>
      <w:r>
        <w:t>Apply a classification and version number to controlled documents.</w:t>
      </w:r>
    </w:p>
    <w:p>
      <w:pPr>
        <w:pStyle w:val="Heading2"/>
      </w:pPr>
      <w:r>
        <w:t>Document-type emphasis</w:t>
      </w:r>
    </w:p>
    <w:tbl>
      <w:tblPr>
        <w:tblW w:type="auto" w:w="0"/>
        <w:jc w:val="center"/>
        <w:tblLayout w:type="fixed"/>
        <w:tblLook w:firstColumn="1" w:firstRow="1" w:lastColumn="0" w:lastRow="0" w:noHBand="0" w:noVBand="1" w:val="04A0"/>
        <w:tblBorders>
          <w:top w:val="single" w:sz="4" w:color="D8DEE5"/>
          <w:left w:val="single" w:sz="4" w:color="D8DEE5"/>
          <w:bottom w:val="single" w:sz="4" w:color="D8DEE5"/>
          <w:right w:val="single" w:sz="4" w:color="D8DEE5"/>
          <w:insideH w:val="single" w:sz="4" w:color="D8DEE5"/>
          <w:insideV w:val="single" w:sz="4" w:color="D8DEE5"/>
        </w:tblBorders>
      </w:tblPr>
      <w:tblGrid>
        <w:gridCol w:w="2268"/>
        <w:gridCol w:w="6973"/>
      </w:tblGrid>
      <w:tr>
        <w:tc>
          <w:tcPr>
            <w:tcW w:type="dxa" w:w="2268"/>
            <w:shd w:fill="EAF0F6"/>
            <w:tcMar>
              <w:top w:w="120" w:type="dxa"/>
              <w:start w:w="140" w:type="dxa"/>
              <w:bottom w:w="120" w:type="dxa"/>
              <w:end w:w="140" w:type="dxa"/>
            </w:tcMar>
            <w:vAlign w:val="center"/>
          </w:tcPr>
          <w:p>
            <w:pPr>
              <w:spacing w:after="0"/>
            </w:pPr>
            <w:r>
              <w:rPr>
                <w:b/>
                <w:color w:val="02234F"/>
              </w:rPr>
              <w:t>Proposal</w:t>
            </w:r>
          </w:p>
        </w:tc>
        <w:tc>
          <w:tcPr>
            <w:tcW w:type="dxa" w:w="6973"/>
            <w:tcMar>
              <w:top w:w="120" w:type="dxa"/>
              <w:start w:w="140" w:type="dxa"/>
              <w:bottom w:w="120" w:type="dxa"/>
              <w:end w:w="140" w:type="dxa"/>
            </w:tcMar>
            <w:vAlign w:val="center"/>
          </w:tcPr>
          <w:p>
            <w:pPr>
              <w:spacing w:after="0"/>
            </w:pPr>
            <w:r>
              <w:t>Client need, outcomes, approach, team, deliverables, commercials and next step.</w:t>
            </w:r>
          </w:p>
        </w:tc>
      </w:tr>
      <w:tr>
        <w:tc>
          <w:tcPr>
            <w:tcW w:type="dxa" w:w="2268"/>
            <w:shd w:fill="EAF0F6"/>
            <w:tcMar>
              <w:top w:w="120" w:type="dxa"/>
              <w:start w:w="140" w:type="dxa"/>
              <w:bottom w:w="120" w:type="dxa"/>
              <w:end w:w="140" w:type="dxa"/>
            </w:tcMar>
            <w:vAlign w:val="center"/>
          </w:tcPr>
          <w:p>
            <w:pPr>
              <w:spacing w:after="0"/>
            </w:pPr>
            <w:r>
              <w:rPr>
                <w:b/>
                <w:color w:val="02234F"/>
              </w:rPr>
              <w:t>Report</w:t>
            </w:r>
          </w:p>
        </w:tc>
        <w:tc>
          <w:tcPr>
            <w:tcW w:type="dxa" w:w="6973"/>
            <w:tcMar>
              <w:top w:w="120" w:type="dxa"/>
              <w:start w:w="140" w:type="dxa"/>
              <w:bottom w:w="120" w:type="dxa"/>
              <w:end w:w="140" w:type="dxa"/>
            </w:tcMar>
            <w:vAlign w:val="center"/>
          </w:tcPr>
          <w:p>
            <w:pPr>
              <w:spacing w:after="0"/>
            </w:pPr>
            <w:r>
              <w:t>Executive summary, scope, method, findings, implications and recommendations.</w:t>
            </w:r>
          </w:p>
        </w:tc>
      </w:tr>
      <w:tr>
        <w:tc>
          <w:tcPr>
            <w:tcW w:type="dxa" w:w="2268"/>
            <w:shd w:fill="EAF0F6"/>
            <w:tcMar>
              <w:top w:w="120" w:type="dxa"/>
              <w:start w:w="140" w:type="dxa"/>
              <w:bottom w:w="120" w:type="dxa"/>
              <w:end w:w="140" w:type="dxa"/>
            </w:tcMar>
            <w:vAlign w:val="center"/>
          </w:tcPr>
          <w:p>
            <w:pPr>
              <w:spacing w:after="0"/>
            </w:pPr>
            <w:r>
              <w:rPr>
                <w:b/>
                <w:color w:val="02234F"/>
              </w:rPr>
              <w:t>White paper</w:t>
            </w:r>
          </w:p>
        </w:tc>
        <w:tc>
          <w:tcPr>
            <w:tcW w:type="dxa" w:w="6973"/>
            <w:tcMar>
              <w:top w:w="120" w:type="dxa"/>
              <w:start w:w="140" w:type="dxa"/>
              <w:bottom w:w="120" w:type="dxa"/>
              <w:end w:w="140" w:type="dxa"/>
            </w:tcMar>
            <w:vAlign w:val="center"/>
          </w:tcPr>
          <w:p>
            <w:pPr>
              <w:spacing w:after="0"/>
            </w:pPr>
            <w:r>
              <w:t>Question, evidence, point of view, implications, recommendations and sources.</w:t>
            </w:r>
          </w:p>
        </w:tc>
      </w:tr>
      <w:tr>
        <w:tc>
          <w:tcPr>
            <w:tcW w:type="dxa" w:w="2268"/>
            <w:shd w:fill="EAF0F6"/>
            <w:tcMar>
              <w:top w:w="120" w:type="dxa"/>
              <w:start w:w="140" w:type="dxa"/>
              <w:bottom w:w="120" w:type="dxa"/>
              <w:end w:w="140" w:type="dxa"/>
            </w:tcMar>
            <w:vAlign w:val="center"/>
          </w:tcPr>
          <w:p>
            <w:pPr>
              <w:spacing w:after="0"/>
            </w:pPr>
            <w:r>
              <w:rPr>
                <w:b/>
                <w:color w:val="02234F"/>
              </w:rPr>
              <w:t>Decision paper</w:t>
            </w:r>
          </w:p>
        </w:tc>
        <w:tc>
          <w:tcPr>
            <w:tcW w:type="dxa" w:w="6973"/>
            <w:tcMar>
              <w:top w:w="120" w:type="dxa"/>
              <w:start w:w="140" w:type="dxa"/>
              <w:bottom w:w="120" w:type="dxa"/>
              <w:end w:w="140" w:type="dxa"/>
            </w:tcMar>
            <w:vAlign w:val="center"/>
          </w:tcPr>
          <w:p>
            <w:pPr>
              <w:spacing w:after="0"/>
            </w:pPr>
            <w:r>
              <w:t>Decision required, context, options, evaluation, recommendation, risks and next steps.</w:t>
            </w:r>
          </w:p>
        </w:tc>
      </w:tr>
      <w:tr>
        <w:tc>
          <w:tcPr>
            <w:tcW w:type="dxa" w:w="2268"/>
            <w:shd w:fill="EAF0F6"/>
            <w:tcMar>
              <w:top w:w="120" w:type="dxa"/>
              <w:start w:w="140" w:type="dxa"/>
              <w:bottom w:w="120" w:type="dxa"/>
              <w:end w:w="140" w:type="dxa"/>
            </w:tcMar>
            <w:vAlign w:val="center"/>
          </w:tcPr>
          <w:p>
            <w:pPr>
              <w:spacing w:after="0"/>
            </w:pPr>
            <w:r>
              <w:rPr>
                <w:b/>
                <w:color w:val="02234F"/>
              </w:rPr>
              <w:t>Client communication</w:t>
            </w:r>
          </w:p>
        </w:tc>
        <w:tc>
          <w:tcPr>
            <w:tcW w:type="dxa" w:w="6973"/>
            <w:tcMar>
              <w:top w:w="120" w:type="dxa"/>
              <w:start w:w="140" w:type="dxa"/>
              <w:bottom w:w="120" w:type="dxa"/>
              <w:end w:w="140" w:type="dxa"/>
            </w:tcMar>
            <w:vAlign w:val="center"/>
          </w:tcPr>
          <w:p>
            <w:pPr>
              <w:spacing w:after="0"/>
            </w:pPr>
            <w:r>
              <w:t>Headline, change, client impact, action, timing and contact.</w:t>
            </w:r>
          </w:p>
        </w:tc>
      </w:tr>
    </w:tbl>
    <w:p>
      <w:pPr>
        <w:spacing w:after="0"/>
      </w:pPr>
    </w:p>
    <w:p>
      <w:pPr>
        <w:pStyle w:val="Heading2"/>
      </w:pPr>
      <w:r>
        <w:t>Imagery and charts</w:t>
      </w:r>
    </w:p>
    <w:p>
      <w:r>
        <w:t>Prefer clean diagrams, restrained data visualisations and relevant professional imagery. Use navy for the primary series, gold for the highlighted series and pale blue/grey for context. Avoid decorative stock imagery and crowded skyline motifs.</w:t>
      </w:r>
    </w:p>
    <w:sectPr w:rsidR="00FC693F" w:rsidRPr="0006063C" w:rsidSect="00034616">
      <w:headerReference w:type="default" r:id="rId9"/>
      <w:footerReference w:type="default" r:id="rId10"/>
      <w:pgSz w:w="11906" w:h="16838"/>
      <w:pgMar w:top="1134" w:right="1247" w:bottom="1020" w:left="124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Aptos" w:hAnsi="Aptos"/>
        <w:color w:val="566573"/>
        <w:sz w:val="16"/>
      </w:rPr>
      <w:t xml:space="preserve">Broadgate internal   |   Broadgate Consulting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6690"/>
      <w:gridCol w:w="2721"/>
    </w:tblGrid>
    <w:tr>
      <w:tc>
        <w:tcPr>
          <w:tcW w:type="dxa" w:w="6690"/>
        </w:tcPr>
        <w:p>
          <w:pPr>
            <w:spacing w:after="0"/>
          </w:pPr>
          <w:r>
            <w:rPr>
              <w:rFonts w:ascii="Aptos Display" w:hAnsi="Aptos Display"/>
              <w:b/>
              <w:color w:val="02234F"/>
              <w:sz w:val="19"/>
            </w:rPr>
            <w:t>BROADGATE</w:t>
          </w:r>
          <w:r>
            <w:rPr>
              <w:rFonts w:ascii="Aptos" w:hAnsi="Aptos"/>
              <w:b/>
              <w:color w:val="BF8C2A"/>
              <w:sz w:val="17"/>
            </w:rPr>
            <w:t xml:space="preserve">  CONSULTING</w:t>
          </w:r>
        </w:p>
      </w:tc>
      <w:tc>
        <w:tcPr>
          <w:tcW w:type="dxa" w:w="2721"/>
        </w:tcPr>
        <w:p>
          <w:pPr>
            <w:spacing w:after="0"/>
            <w:jc w:val="right"/>
          </w:pPr>
          <w:r>
            <w:rPr>
              <w:rFonts w:ascii="Aptos" w:hAnsi="Aptos"/>
              <w:color w:val="566573"/>
              <w:sz w:val="13"/>
            </w:rPr>
            <w:t>YOUR GATEWAY TO EXPERTISE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0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2234F"/>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2234F"/>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BF8C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223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56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9" w:lineRule="auto"/>
      <w:ind w:left="363" w:hanging="363"/>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ind w:left="363" w:hanging="363"/>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CC3A53E3121F149BC70BC356CFAF5C5" ma:contentTypeVersion="10" ma:contentTypeDescription="Create a new document." ma:contentTypeScope="" ma:versionID="2df328a459e13e2639478250b2dc0dbb">
  <xsd:schema xmlns:xsd="http://www.w3.org/2001/XMLSchema" xmlns:xs="http://www.w3.org/2001/XMLSchema" xmlns:p="http://schemas.microsoft.com/office/2006/metadata/properties" xmlns:ns2="620d9a9f-bddf-49a7-bf04-ecb70fcd73a6" xmlns:ns3="2873aeea-e2f0-44d2-8940-e098f5c8764d" targetNamespace="http://schemas.microsoft.com/office/2006/metadata/properties" ma:root="true" ma:fieldsID="dd3953e2b3d862dab660c1ce73a54c63" ns2:_="" ns3:_="">
    <xsd:import namespace="620d9a9f-bddf-49a7-bf04-ecb70fcd73a6"/>
    <xsd:import namespace="2873aeea-e2f0-44d2-8940-e098f5c876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d9a9f-bddf-49a7-bf04-ecb70fcd73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6923a04-6668-4e33-a0f1-de8660d61f4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873aeea-e2f0-44d2-8940-e098f5c8764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f72736c-939a-4c93-a875-59fc2a3cade2}" ma:internalName="TaxCatchAll" ma:showField="CatchAllData" ma:web="2873aeea-e2f0-44d2-8940-e098f5c876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873aeea-e2f0-44d2-8940-e098f5c8764d" xsi:nil="true"/>
    <lcf76f155ced4ddcb4097134ff3c332f xmlns="620d9a9f-bddf-49a7-bf04-ecb70fcd73a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AB117B8-42C2-4113-AEEE-08DF8E69B7AD}"/>
</file>

<file path=customXml/itemProps3.xml><?xml version="1.0" encoding="utf-8"?>
<ds:datastoreItem xmlns:ds="http://schemas.openxmlformats.org/officeDocument/2006/customXml" ds:itemID="{53FBC40E-B678-4E86-9B6B-8C1050180229}"/>
</file>

<file path=customXml/itemProps4.xml><?xml version="1.0" encoding="utf-8"?>
<ds:datastoreItem xmlns:ds="http://schemas.openxmlformats.org/officeDocument/2006/customXml" ds:itemID="{69CFA7CA-6E1E-4CE9-8BC4-6593404D26D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Broadgate Consulting Brand and Document Style Guide</dc:title>
  <dc:subject>Logo, app icon, colour, typography, voice and document standards</dc:subject>
  <dc:creator>Broadgate Consulting</dc:creator>
  <cp:keywords>Broadgate Consulting, brand guide, style guide, logo, colour palette</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0x0101001CC3A53E3121F149BC70BC356CFAF5C5</vt:lpwstr>
  </property>
  <property fmtid="{D5CDD505-2E9C-101B-9397-08002B2CF9AE}" pid="4" name="docLang">
    <vt:lpwstr>en</vt:lpwstr>
  </property>
  <property fmtid="{D5CDD505-2E9C-101B-9397-08002B2CF9AE}" pid="5" name="MediaServiceImageTags">
    <vt:lpwstr/>
  </property>
</Properties>
</file>