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</w:pPr>
    </w:p>
    <w:p>
      <w:pPr>
        <w:spacing w:after="400"/>
      </w:pP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80160" cy="13069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adgate-app-icon-transpar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306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ptos Display" w:hAnsi="Aptos Display"/>
          <w:b/>
          <w:color w:val="02234F"/>
          <w:sz w:val="48"/>
        </w:rPr>
        <w:t>BROADGATE</w:t>
      </w:r>
    </w:p>
    <w:p>
      <w:pPr>
        <w:spacing w:after="60"/>
        <w:jc w:val="center"/>
      </w:pPr>
      <w:r>
        <w:rPr>
          <w:rFonts w:ascii="Aptos" w:hAnsi="Aptos"/>
          <w:b/>
          <w:color w:val="BF8C2A"/>
          <w:sz w:val="22"/>
        </w:rPr>
        <w:t>C O N S U L T I N G</w:t>
      </w:r>
    </w:p>
    <w:p>
      <w:pPr>
        <w:spacing w:after="360"/>
        <w:jc w:val="center"/>
      </w:pPr>
      <w:r>
        <w:rPr>
          <w:rFonts w:ascii="Aptos" w:hAnsi="Aptos"/>
          <w:color w:val="02234F"/>
          <w:sz w:val="18"/>
        </w:rPr>
        <w:t>Gateway to Expertise</w:t>
      </w:r>
    </w:p>
    <w:p>
      <w:pPr>
        <w:pStyle w:val="Title"/>
        <w:jc w:val="center"/>
      </w:pPr>
      <w:r>
        <w:t>Brand &amp; Document Style Guide</w:t>
      </w:r>
    </w:p>
    <w:p>
      <w:pPr>
        <w:pStyle w:val="Subtitle"/>
        <w:jc w:val="center"/>
      </w:pPr>
      <w:r>
        <w:t>Version 1.1  |  21 August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" w:color="EAF0F6"/>
          <w:left w:val="single" w:sz="1" w:color="EAF0F6"/>
          <w:bottom w:val="single" w:sz="1" w:color="EAF0F6"/>
          <w:right w:val="single" w:sz="1" w:color="EAF0F6"/>
          <w:insideH w:val="single" w:sz="1" w:color="EAF0F6"/>
          <w:insideV w:val="single" w:sz="1" w:color="EAF0F6"/>
        </w:tblBorders>
      </w:tblPr>
      <w:tblGrid>
        <w:gridCol w:w="9241"/>
      </w:tblGrid>
      <w:tr>
        <w:tc>
          <w:tcPr>
            <w:tcW w:type="dxa" w:w="9241"/>
            <w:shd w:fill="EAF0F6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60"/>
            </w:pPr>
            <w:r>
              <w:rPr>
                <w:b/>
                <w:color w:val="02234F"/>
                <w:sz w:val="17"/>
              </w:rPr>
              <w:t>BRAND PROMISE</w:t>
            </w:r>
          </w:p>
          <w:p>
            <w:pPr>
              <w:spacing w:after="0"/>
            </w:pPr>
            <w:r>
              <w:rPr>
                <w:b/>
                <w:color w:val="17202A"/>
                <w:sz w:val="22"/>
              </w:rPr>
              <w:t>Broadgate brings strategy, specialist expertise and accountable delivery together for financial-services clients.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Brand foundation</w:t>
      </w:r>
    </w:p>
    <w:p>
      <w:pPr>
        <w:pStyle w:val="Heading2"/>
      </w:pPr>
      <w:r>
        <w:t>Positioning</w:t>
      </w:r>
    </w:p>
    <w:p>
      <w:r>
        <w:t>Broadgate Consulting is a UK consulting business serving financial-services organisations, particularly insurance, wealth management and related industries. It works through a managed network of business partners, suppliers and external consultants to deliver joined-up client solutions.</w:t>
      </w:r>
    </w:p>
    <w:p>
      <w:pPr>
        <w:pStyle w:val="Heading2"/>
      </w:pPr>
      <w:r>
        <w:t>Slogan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" w:color="F6F2E8"/>
          <w:left w:val="single" w:sz="1" w:color="F6F2E8"/>
          <w:bottom w:val="single" w:sz="1" w:color="F6F2E8"/>
          <w:right w:val="single" w:sz="1" w:color="F6F2E8"/>
          <w:insideH w:val="single" w:sz="1" w:color="F6F2E8"/>
          <w:insideV w:val="single" w:sz="1" w:color="F6F2E8"/>
        </w:tblBorders>
      </w:tblPr>
      <w:tblGrid>
        <w:gridCol w:w="9241"/>
      </w:tblGrid>
      <w:tr>
        <w:tc>
          <w:tcPr>
            <w:tcW w:type="dxa" w:w="9241"/>
            <w:shd w:fill="F6F2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60"/>
            </w:pPr>
            <w:r>
              <w:rPr>
                <w:b/>
                <w:color w:val="BF8C2A"/>
                <w:sz w:val="17"/>
              </w:rPr>
              <w:t>APPROVED WORDING</w:t>
            </w:r>
          </w:p>
          <w:p>
            <w:pPr>
              <w:spacing w:after="0"/>
            </w:pPr>
            <w:r>
              <w:rPr>
                <w:b/>
                <w:color w:val="17202A"/>
                <w:sz w:val="22"/>
              </w:rPr>
              <w:t>Gateway to Expertise</w:t>
            </w:r>
          </w:p>
        </w:tc>
      </w:tr>
    </w:tbl>
    <w:p>
      <w:pPr>
        <w:spacing w:after="0"/>
      </w:pPr>
    </w:p>
    <w:p>
      <w:pPr>
        <w:pStyle w:val="Heading2"/>
      </w:pPr>
      <w:r>
        <w:t>What the identity communicates</w:t>
      </w:r>
    </w:p>
    <w:p>
      <w:pPr>
        <w:pStyle w:val="ListBullet"/>
      </w:pPr>
      <w:r>
        <w:t>Gateway arch — an encompassing offer, protection, access and progress.</w:t>
      </w:r>
    </w:p>
    <w:p>
      <w:pPr>
        <w:pStyle w:val="ListBullet"/>
      </w:pPr>
      <w:r>
        <w:t>Abstract skyline — financial-services relevance and a subtle London connection.</w:t>
      </w:r>
    </w:p>
    <w:p>
      <w:pPr>
        <w:pStyle w:val="ListBullet"/>
      </w:pPr>
      <w:r>
        <w:t>Navy and gold — trust, judgement, quality and understated confidence.</w:t>
      </w:r>
    </w:p>
    <w:p>
      <w:pPr>
        <w:pStyle w:val="ListBullet"/>
      </w:pPr>
      <w:r>
        <w:t>Open central space — clarity, opportunity and room for client outcomes.</w:t>
      </w:r>
    </w:p>
    <w:p>
      <w:pPr>
        <w:pStyle w:val="Heading2"/>
      </w:pPr>
      <w:r>
        <w:t>Voice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EE5"/>
          <w:left w:val="single" w:sz="4" w:color="D8DEE5"/>
          <w:bottom w:val="single" w:sz="4" w:color="D8DEE5"/>
          <w:right w:val="single" w:sz="4" w:color="D8DEE5"/>
          <w:insideH w:val="single" w:sz="4" w:color="D8DEE5"/>
          <w:insideV w:val="single" w:sz="4" w:color="D8DEE5"/>
        </w:tblBorders>
      </w:tblPr>
      <w:tblGrid>
        <w:gridCol w:w="2268"/>
        <w:gridCol w:w="6973"/>
      </w:tblGrid>
      <w:tr>
        <w:tc>
          <w:tcPr>
            <w:tcW w:type="dxa" w:w="2268"/>
            <w:shd w:fill="EAF0F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2234F"/>
              </w:rPr>
              <w:t>Clear</w:t>
            </w:r>
          </w:p>
        </w:tc>
        <w:tc>
          <w:tcPr>
            <w:tcW w:type="dxa" w:w="697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Lead with the conclusion; use direct, plain business language.</w:t>
            </w:r>
          </w:p>
        </w:tc>
      </w:tr>
      <w:tr>
        <w:tc>
          <w:tcPr>
            <w:tcW w:type="dxa" w:w="2268"/>
            <w:shd w:fill="EAF0F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2234F"/>
              </w:rPr>
              <w:t>Evidence-led</w:t>
            </w:r>
          </w:p>
        </w:tc>
        <w:tc>
          <w:tcPr>
            <w:tcW w:type="dxa" w:w="697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Separate facts, contractual obligations, assumptions and recommendations.</w:t>
            </w:r>
          </w:p>
        </w:tc>
      </w:tr>
      <w:tr>
        <w:tc>
          <w:tcPr>
            <w:tcW w:type="dxa" w:w="2268"/>
            <w:shd w:fill="EAF0F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2234F"/>
              </w:rPr>
              <w:t>Pragmatic</w:t>
            </w:r>
          </w:p>
        </w:tc>
        <w:tc>
          <w:tcPr>
            <w:tcW w:type="dxa" w:w="697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Connect advice to decisions, delivery, ownership and outcomes.</w:t>
            </w:r>
          </w:p>
        </w:tc>
      </w:tr>
      <w:tr>
        <w:tc>
          <w:tcPr>
            <w:tcW w:type="dxa" w:w="2268"/>
            <w:shd w:fill="EAF0F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2234F"/>
              </w:rPr>
              <w:t>Confident</w:t>
            </w:r>
          </w:p>
        </w:tc>
        <w:tc>
          <w:tcPr>
            <w:tcW w:type="dxa" w:w="697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Be authoritative without sounding inflated, promotional or absolute.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Logo system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20538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adgate-app-icon-transpar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53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"/>
        <w:jc w:val="center"/>
      </w:pPr>
      <w:r>
        <w:t>Primary symbol</w:t>
      </w:r>
    </w:p>
    <w:p>
      <w:r>
        <w:t>Use the gateway symbol with the Broadgate wordmark wherever space permits. Use the symbol alone for app icons, avatars, favicons and other compact digital placements.</w:t>
      </w:r>
    </w:p>
    <w:p>
      <w:pPr>
        <w:pStyle w:val="Heading2"/>
      </w:pPr>
      <w:r>
        <w:t>Clear space and minimum size</w:t>
      </w:r>
    </w:p>
    <w:p>
      <w:pPr>
        <w:pStyle w:val="ListBullet"/>
      </w:pPr>
      <w:r>
        <w:t>Keep clear space around the mark equal to at least the width of the gold inner arc.</w:t>
      </w:r>
    </w:p>
    <w:p>
      <w:pPr>
        <w:pStyle w:val="ListBullet"/>
      </w:pPr>
      <w:r>
        <w:t>Do not use the full lockup below 35 mm wide in print or 180 px wide on screen.</w:t>
      </w:r>
    </w:p>
    <w:p>
      <w:pPr>
        <w:pStyle w:val="ListBullet"/>
      </w:pPr>
      <w:r>
        <w:t>Do not use the standalone icon below 16 px; simplify testing at very small sizes.</w:t>
      </w:r>
    </w:p>
    <w:p>
      <w:pPr>
        <w:pStyle w:val="Heading2"/>
      </w:pPr>
      <w:r>
        <w:t>Do not</w:t>
      </w:r>
    </w:p>
    <w:p>
      <w:pPr>
        <w:pStyle w:val="ListBullet"/>
      </w:pPr>
      <w:r>
        <w:t>Stretch, rotate, outline or rearrange the mark.</w:t>
      </w:r>
    </w:p>
    <w:p>
      <w:pPr>
        <w:pStyle w:val="ListBullet"/>
      </w:pPr>
      <w:r>
        <w:t>Change the approved navy and gold colours.</w:t>
      </w:r>
    </w:p>
    <w:p>
      <w:pPr>
        <w:pStyle w:val="ListBullet"/>
      </w:pPr>
      <w:r>
        <w:t>Place the mark on a busy image or low-contrast background.</w:t>
      </w:r>
    </w:p>
    <w:p>
      <w:pPr>
        <w:pStyle w:val="ListBullet"/>
      </w:pPr>
      <w:r>
        <w:t>Add shadows, bevels, gradients or unapproved landmark details.</w:t>
      </w:r>
    </w:p>
    <w:p>
      <w:r>
        <w:br w:type="page"/>
      </w:r>
    </w:p>
    <w:p>
      <w:pPr>
        <w:pStyle w:val="Heading1"/>
      </w:pPr>
      <w:r>
        <w:t>3. App icon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24272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adgate-app-icon-transpar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427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approved app icon is the standalone gateway-and-skyline symbol on a transparent background. Platform artwork may place it on white, Broadgate Navy or another high-contrast neutral, but the master icon itself should remain transparent.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EE5"/>
          <w:left w:val="single" w:sz="4" w:color="D8DEE5"/>
          <w:bottom w:val="single" w:sz="4" w:color="D8DEE5"/>
          <w:right w:val="single" w:sz="4" w:color="D8DEE5"/>
          <w:insideH w:val="single" w:sz="4" w:color="D8DEE5"/>
          <w:insideV w:val="single" w:sz="4" w:color="D8DEE5"/>
        </w:tblBorders>
      </w:tblPr>
      <w:tblGrid>
        <w:gridCol w:w="2268"/>
        <w:gridCol w:w="6973"/>
      </w:tblGrid>
      <w:tr>
        <w:tc>
          <w:tcPr>
            <w:tcW w:type="dxa" w:w="2268"/>
            <w:shd w:fill="EAF0F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2234F"/>
              </w:rPr>
              <w:t>Master asset</w:t>
            </w:r>
          </w:p>
        </w:tc>
        <w:tc>
          <w:tcPr>
            <w:tcW w:type="dxa" w:w="697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brand/assets/broadgate-app-icon-transparent.png</w:t>
            </w:r>
          </w:p>
        </w:tc>
      </w:tr>
      <w:tr>
        <w:tc>
          <w:tcPr>
            <w:tcW w:type="dxa" w:w="2268"/>
            <w:shd w:fill="EAF0F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2234F"/>
              </w:rPr>
              <w:t>Master dimensions</w:t>
            </w:r>
          </w:p>
        </w:tc>
        <w:tc>
          <w:tcPr>
            <w:tcW w:type="dxa" w:w="697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1241 × 1267 px, RGBA PNG</w:t>
            </w:r>
          </w:p>
        </w:tc>
      </w:tr>
      <w:tr>
        <w:tc>
          <w:tcPr>
            <w:tcW w:type="dxa" w:w="2268"/>
            <w:shd w:fill="EAF0F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2234F"/>
              </w:rPr>
              <w:t>Safe area</w:t>
            </w:r>
          </w:p>
        </w:tc>
        <w:tc>
          <w:tcPr>
            <w:tcW w:type="dxa" w:w="697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Keep the complete symbol inside the central 80% of any platform tile.</w:t>
            </w:r>
          </w:p>
        </w:tc>
      </w:tr>
      <w:tr>
        <w:tc>
          <w:tcPr>
            <w:tcW w:type="dxa" w:w="2268"/>
            <w:shd w:fill="EAF0F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2234F"/>
              </w:rPr>
              <w:t>Small-size rule</w:t>
            </w:r>
          </w:p>
        </w:tc>
        <w:tc>
          <w:tcPr>
            <w:tcW w:type="dxa" w:w="697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Test at 32 px and 16 px; do not add the company name.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Colour palette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DEE5"/>
          <w:left w:val="single" w:sz="5" w:color="D8DEE5"/>
          <w:bottom w:val="single" w:sz="5" w:color="D8DEE5"/>
          <w:right w:val="single" w:sz="5" w:color="D8DEE5"/>
          <w:insideH w:val="single" w:sz="5" w:color="D8DEE5"/>
          <w:insideV w:val="single" w:sz="5" w:color="D8DEE5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134"/>
            <w:shd w:fill="02234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Swatch</w:t>
            </w:r>
          </w:p>
        </w:tc>
        <w:tc>
          <w:tcPr>
            <w:tcW w:type="dxa" w:w="1871"/>
            <w:shd w:fill="02234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1531"/>
            <w:shd w:fill="02234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HEX</w:t>
            </w:r>
          </w:p>
        </w:tc>
        <w:tc>
          <w:tcPr>
            <w:tcW w:type="dxa" w:w="4706"/>
            <w:shd w:fill="02234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Use</w:t>
            </w:r>
          </w:p>
        </w:tc>
      </w:tr>
      <w:tr>
        <w:tc>
          <w:tcPr>
            <w:tcW w:type="dxa" w:w="113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02234F"/>
          </w:tcPr>
          <w:p>
            <w:pPr>
              <w:spacing w:after="0"/>
            </w:pPr>
            <w:r/>
          </w:p>
        </w:tc>
        <w:tc>
          <w:tcPr>
            <w:tcW w:type="dxa" w:w="187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Broadgate Navy</w:t>
            </w:r>
          </w:p>
        </w:tc>
        <w:tc>
          <w:tcPr>
            <w:tcW w:type="dxa" w:w="153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#02234F</w:t>
            </w:r>
          </w:p>
        </w:tc>
        <w:tc>
          <w:tcPr>
            <w:tcW w:type="dxa" w:w="470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Primary logo, headings, covers, key table headers</w:t>
            </w:r>
          </w:p>
        </w:tc>
      </w:tr>
      <w:tr>
        <w:tc>
          <w:tcPr>
            <w:tcW w:type="dxa" w:w="113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BF8C2A"/>
          </w:tcPr>
          <w:p>
            <w:pPr>
              <w:spacing w:after="0"/>
            </w:pPr>
            <w:r/>
          </w:p>
        </w:tc>
        <w:tc>
          <w:tcPr>
            <w:tcW w:type="dxa" w:w="187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Broadgate Gold</w:t>
            </w:r>
          </w:p>
        </w:tc>
        <w:tc>
          <w:tcPr>
            <w:tcW w:type="dxa" w:w="153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#BF8C2A</w:t>
            </w:r>
          </w:p>
        </w:tc>
        <w:tc>
          <w:tcPr>
            <w:tcW w:type="dxa" w:w="470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Accent, dividers, selected emphasis</w:t>
            </w:r>
          </w:p>
        </w:tc>
      </w:tr>
      <w:tr>
        <w:tc>
          <w:tcPr>
            <w:tcW w:type="dxa" w:w="113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17202A"/>
          </w:tcPr>
          <w:p>
            <w:pPr>
              <w:spacing w:after="0"/>
            </w:pPr>
            <w:r/>
          </w:p>
        </w:tc>
        <w:tc>
          <w:tcPr>
            <w:tcW w:type="dxa" w:w="187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Ink</w:t>
            </w:r>
          </w:p>
        </w:tc>
        <w:tc>
          <w:tcPr>
            <w:tcW w:type="dxa" w:w="153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#17202A</w:t>
            </w:r>
          </w:p>
        </w:tc>
        <w:tc>
          <w:tcPr>
            <w:tcW w:type="dxa" w:w="470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Body text</w:t>
            </w:r>
          </w:p>
        </w:tc>
      </w:tr>
      <w:tr>
        <w:tc>
          <w:tcPr>
            <w:tcW w:type="dxa" w:w="113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566573"/>
          </w:tcPr>
          <w:p>
            <w:pPr>
              <w:spacing w:after="0"/>
            </w:pPr>
            <w:r/>
          </w:p>
        </w:tc>
        <w:tc>
          <w:tcPr>
            <w:tcW w:type="dxa" w:w="187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Slate</w:t>
            </w:r>
          </w:p>
        </w:tc>
        <w:tc>
          <w:tcPr>
            <w:tcW w:type="dxa" w:w="153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#566573</w:t>
            </w:r>
          </w:p>
        </w:tc>
        <w:tc>
          <w:tcPr>
            <w:tcW w:type="dxa" w:w="470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Secondary text and metadata</w:t>
            </w:r>
          </w:p>
        </w:tc>
      </w:tr>
      <w:tr>
        <w:tc>
          <w:tcPr>
            <w:tcW w:type="dxa" w:w="113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0F6"/>
          </w:tcPr>
          <w:p>
            <w:pPr>
              <w:spacing w:after="0"/>
            </w:pPr>
            <w:r/>
          </w:p>
        </w:tc>
        <w:tc>
          <w:tcPr>
            <w:tcW w:type="dxa" w:w="187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Pale Blue</w:t>
            </w:r>
          </w:p>
        </w:tc>
        <w:tc>
          <w:tcPr>
            <w:tcW w:type="dxa" w:w="153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#EAF0F6</w:t>
            </w:r>
          </w:p>
        </w:tc>
        <w:tc>
          <w:tcPr>
            <w:tcW w:type="dxa" w:w="470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Callouts and subtle section fills</w:t>
            </w:r>
          </w:p>
        </w:tc>
      </w:tr>
      <w:tr>
        <w:tc>
          <w:tcPr>
            <w:tcW w:type="dxa" w:w="113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6F2E8"/>
          </w:tcPr>
          <w:p>
            <w:pPr>
              <w:spacing w:after="0"/>
            </w:pPr>
            <w:r/>
          </w:p>
        </w:tc>
        <w:tc>
          <w:tcPr>
            <w:tcW w:type="dxa" w:w="187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Warm Neutral</w:t>
            </w:r>
          </w:p>
        </w:tc>
        <w:tc>
          <w:tcPr>
            <w:tcW w:type="dxa" w:w="153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#F6F2E8</w:t>
            </w:r>
          </w:p>
        </w:tc>
        <w:tc>
          <w:tcPr>
            <w:tcW w:type="dxa" w:w="470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Decision and recommendation highlights</w:t>
            </w:r>
          </w:p>
        </w:tc>
      </w:tr>
    </w:tbl>
    <w:p>
      <w:pPr>
        <w:pStyle w:val="Heading2"/>
      </w:pPr>
      <w:r>
        <w:t>Colour balance</w:t>
      </w:r>
    </w:p>
    <w:p>
      <w:r>
        <w:t>Use white or very light neutral backgrounds for most documents. Let navy carry hierarchy and authority; use gold sparingly as an accent. A useful starting balance is 70% white/light neutral, 25% navy/ink and no more than 5% gold.</w:t>
      </w:r>
    </w:p>
    <w:p>
      <w:pPr>
        <w:pStyle w:val="Heading2"/>
      </w:pPr>
      <w:r>
        <w:t>Accessibility</w:t>
      </w:r>
    </w:p>
    <w:p>
      <w:r>
        <w:t>Use navy or ink for body text on white. Reserve gold for large text, rules, labels and decorative emphasis; do not rely on gold alone for small body copy or status meaning. Always pair status colours with words or icons.</w:t>
      </w:r>
    </w:p>
    <w:p>
      <w:r>
        <w:br w:type="page"/>
      </w:r>
    </w:p>
    <w:p>
      <w:pPr>
        <w:pStyle w:val="Heading1"/>
      </w:pPr>
      <w:r>
        <w:t>5. Typography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EE5"/>
          <w:left w:val="single" w:sz="4" w:color="D8DEE5"/>
          <w:bottom w:val="single" w:sz="4" w:color="D8DEE5"/>
          <w:right w:val="single" w:sz="4" w:color="D8DEE5"/>
          <w:insideH w:val="single" w:sz="4" w:color="D8DEE5"/>
          <w:insideV w:val="single" w:sz="4" w:color="D8DEE5"/>
        </w:tblBorders>
      </w:tblPr>
      <w:tblGrid>
        <w:gridCol w:w="2268"/>
        <w:gridCol w:w="6973"/>
      </w:tblGrid>
      <w:tr>
        <w:tc>
          <w:tcPr>
            <w:tcW w:type="dxa" w:w="2268"/>
            <w:shd w:fill="EAF0F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2234F"/>
              </w:rPr>
              <w:t>Primary office font</w:t>
            </w:r>
          </w:p>
        </w:tc>
        <w:tc>
          <w:tcPr>
            <w:tcW w:type="dxa" w:w="697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Aptos — body text, tables and everyday communication</w:t>
            </w:r>
          </w:p>
        </w:tc>
      </w:tr>
      <w:tr>
        <w:tc>
          <w:tcPr>
            <w:tcW w:type="dxa" w:w="2268"/>
            <w:shd w:fill="EAF0F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2234F"/>
              </w:rPr>
              <w:t>Display font</w:t>
            </w:r>
          </w:p>
        </w:tc>
        <w:tc>
          <w:tcPr>
            <w:tcW w:type="dxa" w:w="697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Aptos Display — titles and major headings</w:t>
            </w:r>
          </w:p>
        </w:tc>
      </w:tr>
      <w:tr>
        <w:tc>
          <w:tcPr>
            <w:tcW w:type="dxa" w:w="2268"/>
            <w:shd w:fill="EAF0F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2234F"/>
              </w:rPr>
              <w:t>Compatibility fallback</w:t>
            </w:r>
          </w:p>
        </w:tc>
        <w:tc>
          <w:tcPr>
            <w:tcW w:type="dxa" w:w="697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Arial — use when Aptos is unavailable</w:t>
            </w:r>
          </w:p>
        </w:tc>
      </w:tr>
      <w:tr>
        <w:tc>
          <w:tcPr>
            <w:tcW w:type="dxa" w:w="2268"/>
            <w:shd w:fill="EAF0F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2234F"/>
              </w:rPr>
              <w:t>Optional formal accent</w:t>
            </w:r>
          </w:p>
        </w:tc>
        <w:tc>
          <w:tcPr>
            <w:tcW w:type="dxa" w:w="697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Georgia — limited to selected editorial titles, never body text</w:t>
            </w:r>
          </w:p>
        </w:tc>
      </w:tr>
    </w:tbl>
    <w:p>
      <w:pPr>
        <w:spacing w:after="0"/>
      </w:pPr>
    </w:p>
    <w:p>
      <w:pPr>
        <w:pStyle w:val="Heading2"/>
      </w:pPr>
      <w:r>
        <w:t>Recommended scale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DEE5"/>
          <w:left w:val="single" w:sz="5" w:color="D8DEE5"/>
          <w:bottom w:val="single" w:sz="5" w:color="D8DEE5"/>
          <w:right w:val="single" w:sz="5" w:color="D8DEE5"/>
          <w:insideH w:val="single" w:sz="5" w:color="D8DEE5"/>
          <w:insideV w:val="single" w:sz="5" w:color="D8DEE5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shd w:fill="02234F"/>
          </w:tcPr>
          <w:p>
            <w:pPr>
              <w:spacing w:after="0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1814"/>
            <w:tcMar>
              <w:top w:w="120" w:type="dxa"/>
              <w:start w:w="140" w:type="dxa"/>
              <w:bottom w:w="120" w:type="dxa"/>
              <w:end w:w="140" w:type="dxa"/>
            </w:tcMar>
            <w:shd w:fill="02234F"/>
          </w:tcPr>
          <w:p>
            <w:pPr>
              <w:spacing w:after="0"/>
            </w:pPr>
            <w:r>
              <w:rPr>
                <w:b/>
                <w:color w:val="FFFFFF"/>
              </w:rPr>
              <w:t>Size</w:t>
            </w:r>
          </w:p>
        </w:tc>
        <w:tc>
          <w:tcPr>
            <w:tcW w:type="dxa" w:w="4592"/>
            <w:tcMar>
              <w:top w:w="120" w:type="dxa"/>
              <w:start w:w="140" w:type="dxa"/>
              <w:bottom w:w="120" w:type="dxa"/>
              <w:end w:w="140" w:type="dxa"/>
            </w:tcMar>
            <w:shd w:fill="02234F"/>
          </w:tcPr>
          <w:p>
            <w:pPr>
              <w:spacing w:after="0"/>
            </w:pPr>
            <w:r>
              <w:rPr>
                <w:b/>
                <w:color w:val="FFFFFF"/>
              </w:rPr>
              <w:t>Treatment</w:t>
            </w:r>
          </w:p>
        </w:tc>
      </w:tr>
      <w:tr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Cover title</w:t>
            </w:r>
          </w:p>
        </w:tc>
        <w:tc>
          <w:tcPr>
            <w:tcW w:type="dxa" w:w="181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26–30 pt</w:t>
            </w:r>
          </w:p>
        </w:tc>
        <w:tc>
          <w:tcPr>
            <w:tcW w:type="dxa" w:w="459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Aptos Display Bold, navy</w:t>
            </w:r>
          </w:p>
        </w:tc>
      </w:tr>
      <w:tr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Heading 1</w:t>
            </w:r>
          </w:p>
        </w:tc>
        <w:tc>
          <w:tcPr>
            <w:tcW w:type="dxa" w:w="181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17 pt</w:t>
            </w:r>
          </w:p>
        </w:tc>
        <w:tc>
          <w:tcPr>
            <w:tcW w:type="dxa" w:w="459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Aptos Display Bold, navy</w:t>
            </w:r>
          </w:p>
        </w:tc>
      </w:tr>
      <w:tr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Heading 2</w:t>
            </w:r>
          </w:p>
        </w:tc>
        <w:tc>
          <w:tcPr>
            <w:tcW w:type="dxa" w:w="181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13 pt</w:t>
            </w:r>
          </w:p>
        </w:tc>
        <w:tc>
          <w:tcPr>
            <w:tcW w:type="dxa" w:w="459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Aptos Display Bold, navy</w:t>
            </w:r>
          </w:p>
        </w:tc>
      </w:tr>
      <w:tr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Heading 3</w:t>
            </w:r>
          </w:p>
        </w:tc>
        <w:tc>
          <w:tcPr>
            <w:tcW w:type="dxa" w:w="181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11 pt</w:t>
            </w:r>
          </w:p>
        </w:tc>
        <w:tc>
          <w:tcPr>
            <w:tcW w:type="dxa" w:w="459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Aptos Bold, gold</w:t>
            </w:r>
          </w:p>
        </w:tc>
      </w:tr>
      <w:tr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Body</w:t>
            </w:r>
          </w:p>
        </w:tc>
        <w:tc>
          <w:tcPr>
            <w:tcW w:type="dxa" w:w="181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10.5–11 pt</w:t>
            </w:r>
          </w:p>
        </w:tc>
        <w:tc>
          <w:tcPr>
            <w:tcW w:type="dxa" w:w="459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Aptos Regular, ink</w:t>
            </w:r>
          </w:p>
        </w:tc>
      </w:tr>
    </w:tbl>
    <w:p>
      <w:r>
        <w:br w:type="page"/>
      </w:r>
    </w:p>
    <w:p>
      <w:pPr>
        <w:pStyle w:val="Heading1"/>
      </w:pPr>
      <w:r>
        <w:t>6. Document system</w:t>
      </w:r>
    </w:p>
    <w:p>
      <w:r>
        <w:t>Use the Broadgate Corporate Document Template as the starting point for proposals, reports, white papers, decision papers and formal client communications. Remove guidance text and unused sections before issue.</w:t>
      </w:r>
    </w:p>
    <w:p>
      <w:pPr>
        <w:pStyle w:val="Heading2"/>
      </w:pPr>
      <w:r>
        <w:t>Document principles</w:t>
      </w:r>
    </w:p>
    <w:p>
      <w:pPr>
        <w:pStyle w:val="ListBullet"/>
      </w:pPr>
      <w:r>
        <w:t>Lead with the outcome: state the recommendation, key message or client ask early.</w:t>
      </w:r>
    </w:p>
    <w:p>
      <w:pPr>
        <w:pStyle w:val="ListBullet"/>
      </w:pPr>
      <w:r>
        <w:t>Keep one clear heading hierarchy and use built-in Word styles.</w:t>
      </w:r>
    </w:p>
    <w:p>
      <w:pPr>
        <w:pStyle w:val="ListBullet"/>
      </w:pPr>
      <w:r>
        <w:t>Use tables for genuinely comparable information, not as decoration.</w:t>
      </w:r>
    </w:p>
    <w:p>
      <w:pPr>
        <w:pStyle w:val="ListBullet"/>
      </w:pPr>
      <w:r>
        <w:t>Label assumptions, dependencies, risks and decisions explicitly.</w:t>
      </w:r>
    </w:p>
    <w:p>
      <w:pPr>
        <w:pStyle w:val="ListBullet"/>
      </w:pPr>
      <w:r>
        <w:t>Use A4 pages, restrained white space and short paragraphs for executive readability.</w:t>
      </w:r>
    </w:p>
    <w:p>
      <w:pPr>
        <w:pStyle w:val="ListBullet"/>
      </w:pPr>
      <w:r>
        <w:t>Apply a classification and version number to controlled documents.</w:t>
      </w:r>
    </w:p>
    <w:p>
      <w:pPr>
        <w:pStyle w:val="Heading2"/>
      </w:pPr>
      <w:r>
        <w:t>Document-type emphasis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EE5"/>
          <w:left w:val="single" w:sz="4" w:color="D8DEE5"/>
          <w:bottom w:val="single" w:sz="4" w:color="D8DEE5"/>
          <w:right w:val="single" w:sz="4" w:color="D8DEE5"/>
          <w:insideH w:val="single" w:sz="4" w:color="D8DEE5"/>
          <w:insideV w:val="single" w:sz="4" w:color="D8DEE5"/>
        </w:tblBorders>
      </w:tblPr>
      <w:tblGrid>
        <w:gridCol w:w="2268"/>
        <w:gridCol w:w="6973"/>
      </w:tblGrid>
      <w:tr>
        <w:tc>
          <w:tcPr>
            <w:tcW w:type="dxa" w:w="2268"/>
            <w:shd w:fill="EAF0F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2234F"/>
              </w:rPr>
              <w:t>Proposal</w:t>
            </w:r>
          </w:p>
        </w:tc>
        <w:tc>
          <w:tcPr>
            <w:tcW w:type="dxa" w:w="697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Client need, outcomes, approach, team, deliverables, commercials and next step.</w:t>
            </w:r>
          </w:p>
        </w:tc>
      </w:tr>
      <w:tr>
        <w:tc>
          <w:tcPr>
            <w:tcW w:type="dxa" w:w="2268"/>
            <w:shd w:fill="EAF0F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2234F"/>
              </w:rPr>
              <w:t>Report</w:t>
            </w:r>
          </w:p>
        </w:tc>
        <w:tc>
          <w:tcPr>
            <w:tcW w:type="dxa" w:w="697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Executive summary, scope, method, findings, implications and recommendations.</w:t>
            </w:r>
          </w:p>
        </w:tc>
      </w:tr>
      <w:tr>
        <w:tc>
          <w:tcPr>
            <w:tcW w:type="dxa" w:w="2268"/>
            <w:shd w:fill="EAF0F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2234F"/>
              </w:rPr>
              <w:t>White paper</w:t>
            </w:r>
          </w:p>
        </w:tc>
        <w:tc>
          <w:tcPr>
            <w:tcW w:type="dxa" w:w="697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Question, evidence, point of view, implications, recommendations and sources.</w:t>
            </w:r>
          </w:p>
        </w:tc>
      </w:tr>
      <w:tr>
        <w:tc>
          <w:tcPr>
            <w:tcW w:type="dxa" w:w="2268"/>
            <w:shd w:fill="EAF0F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2234F"/>
              </w:rPr>
              <w:t>Decision paper</w:t>
            </w:r>
          </w:p>
        </w:tc>
        <w:tc>
          <w:tcPr>
            <w:tcW w:type="dxa" w:w="697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Decision required, context, options, evaluation, recommendation, risks and next steps.</w:t>
            </w:r>
          </w:p>
        </w:tc>
      </w:tr>
      <w:tr>
        <w:tc>
          <w:tcPr>
            <w:tcW w:type="dxa" w:w="2268"/>
            <w:shd w:fill="EAF0F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2234F"/>
              </w:rPr>
              <w:t>Client communication</w:t>
            </w:r>
          </w:p>
        </w:tc>
        <w:tc>
          <w:tcPr>
            <w:tcW w:type="dxa" w:w="697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Headline, change, client impact, action, timing and contact.</w:t>
            </w:r>
          </w:p>
        </w:tc>
      </w:tr>
    </w:tbl>
    <w:p>
      <w:pPr>
        <w:spacing w:after="0"/>
      </w:pPr>
    </w:p>
    <w:p>
      <w:pPr>
        <w:pStyle w:val="Heading2"/>
      </w:pPr>
      <w:r>
        <w:t>Imagery and charts</w:t>
      </w:r>
    </w:p>
    <w:p>
      <w:r>
        <w:t>Prefer clean diagrams, restrained data visualisations and relevant professional imagery. Use navy for the primary series, gold for the highlighted series and pale blue/grey for context. Avoid decorative stock imagery and crowded skyline motifs.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jc w:val="center"/>
    </w:pPr>
    <w:r>
      <w:rPr>
        <w:rFonts w:ascii="Aptos" w:hAnsi="Aptos"/>
        <w:color w:val="566573"/>
        <w:sz w:val="16"/>
      </w:rPr>
      <w:t xml:space="preserve">Broadgate internal   |   Broadgate Consulting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6690"/>
      <w:gridCol w:w="2721"/>
    </w:tblGrid>
    <w:tr>
      <w:tc>
        <w:tcPr>
          <w:tcW w:type="dxa" w:w="6690"/>
        </w:tcPr>
        <w:p>
          <w:pPr>
            <w:spacing w:after="0"/>
          </w:pPr>
          <w:r>
            <w:rPr>
              <w:rFonts w:ascii="Aptos Display" w:hAnsi="Aptos Display"/>
              <w:b/>
              <w:color w:val="02234F"/>
              <w:sz w:val="19"/>
            </w:rPr>
            <w:t>BROADGATE</w:t>
          </w:r>
          <w:r>
            <w:rPr>
              <w:rFonts w:ascii="Aptos" w:hAnsi="Aptos"/>
              <w:b/>
              <w:color w:val="BF8C2A"/>
              <w:sz w:val="17"/>
            </w:rPr>
            <w:t xml:space="preserve">  CONSULTING</w:t>
          </w:r>
        </w:p>
      </w:tc>
      <w:tc>
        <w:tcPr>
          <w:tcW w:type="dxa" w:w="2721"/>
        </w:tcPr>
        <w:p>
          <w:pPr>
            <w:spacing w:after="0"/>
            <w:jc w:val="right"/>
          </w:pPr>
          <w:r>
            <w:rPr>
              <w:rFonts w:ascii="Aptos" w:hAnsi="Aptos"/>
              <w:color w:val="566573"/>
              <w:sz w:val="13"/>
            </w:rPr>
            <w:t>GATEWAY TO EXPERTISE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720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223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223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BF8C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223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Aptos" w:hAnsi="Aptos"/>
      <w:b w:val="0"/>
      <w:i/>
      <w:iCs/>
      <w:color w:val="56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9" w:lineRule="auto"/>
      <w:ind w:left="363" w:hanging="363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9" w:lineRule="auto"/>
      <w:ind w:left="363" w:hanging="363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C3A53E3121F149BC70BC356CFAF5C5" ma:contentTypeVersion="10" ma:contentTypeDescription="Create a new document." ma:contentTypeScope="" ma:versionID="2df328a459e13e2639478250b2dc0dbb">
  <xsd:schema xmlns:xsd="http://www.w3.org/2001/XMLSchema" xmlns:xs="http://www.w3.org/2001/XMLSchema" xmlns:p="http://schemas.microsoft.com/office/2006/metadata/properties" xmlns:ns2="620d9a9f-bddf-49a7-bf04-ecb70fcd73a6" xmlns:ns3="2873aeea-e2f0-44d2-8940-e098f5c8764d" targetNamespace="http://schemas.microsoft.com/office/2006/metadata/properties" ma:root="true" ma:fieldsID="dd3953e2b3d862dab660c1ce73a54c63" ns2:_="" ns3:_="">
    <xsd:import namespace="620d9a9f-bddf-49a7-bf04-ecb70fcd73a6"/>
    <xsd:import namespace="2873aeea-e2f0-44d2-8940-e098f5c876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0d9a9f-bddf-49a7-bf04-ecb70fcd73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6923a04-6668-4e33-a0f1-de8660d61f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73aeea-e2f0-44d2-8940-e098f5c8764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f72736c-939a-4c93-a875-59fc2a3cade2}" ma:internalName="TaxCatchAll" ma:showField="CatchAllData" ma:web="2873aeea-e2f0-44d2-8940-e098f5c876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73aeea-e2f0-44d2-8940-e098f5c8764d" xsi:nil="true"/>
    <lcf76f155ced4ddcb4097134ff3c332f xmlns="620d9a9f-bddf-49a7-bf04-ecb70fcd73a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AB117B8-42C2-4113-AEEE-08DF8E69B7AD}"/>
</file>

<file path=customXml/itemProps3.xml><?xml version="1.0" encoding="utf-8"?>
<ds:datastoreItem xmlns:ds="http://schemas.openxmlformats.org/officeDocument/2006/customXml" ds:itemID="{53FBC40E-B678-4E86-9B6B-8C1050180229}"/>
</file>

<file path=customXml/itemProps4.xml><?xml version="1.0" encoding="utf-8"?>
<ds:datastoreItem xmlns:ds="http://schemas.openxmlformats.org/officeDocument/2006/customXml" ds:itemID="{69CFA7CA-6E1E-4CE9-8BC4-6593404D26D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Broadgate Consulting Brand and Document Style Guide</dc:title>
  <dc:subject>Logo, app icon, colour, typography, voice and document standards</dc:subject>
  <dc:creator>Broadgate Consulting</dc:creator>
  <cp:keywords>Broadgate Consulting, brand guide, style guide, logo, colour palette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0x0101001CC3A53E3121F149BC70BC356CFAF5C5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