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361FE" w14:textId="270D5C89" w:rsidR="00792B80" w:rsidRPr="003912DA" w:rsidRDefault="00000000" w:rsidP="00792B80">
      <w:pPr>
        <w:rPr>
          <w:bCs/>
          <w:sz w:val="21"/>
          <w:szCs w:val="21"/>
        </w:rPr>
      </w:pPr>
      <w:r w:rsidRPr="003912DA">
        <w:rPr>
          <w:b/>
          <w:sz w:val="21"/>
          <w:szCs w:val="21"/>
        </w:rPr>
        <w:t>Title:</w:t>
      </w:r>
      <w:r w:rsidRPr="003912DA">
        <w:rPr>
          <w:bCs/>
          <w:sz w:val="21"/>
          <w:szCs w:val="21"/>
        </w:rPr>
        <w:t xml:space="preserve"> </w:t>
      </w:r>
      <w:r w:rsidR="00792B80" w:rsidRPr="003912DA">
        <w:rPr>
          <w:bCs/>
          <w:sz w:val="21"/>
          <w:szCs w:val="21"/>
        </w:rPr>
        <w:t>Rethinking Regulation in the Wild West of Direct-to-Consumer Genetic Services</w:t>
      </w:r>
    </w:p>
    <w:p w14:paraId="23D31030" w14:textId="3AAE03F4" w:rsidR="00792B80" w:rsidRPr="003912DA" w:rsidRDefault="00792B80" w:rsidP="00792B80">
      <w:pPr>
        <w:rPr>
          <w:bCs/>
          <w:sz w:val="21"/>
          <w:szCs w:val="21"/>
        </w:rPr>
      </w:pPr>
      <w:r w:rsidRPr="003912DA">
        <w:rPr>
          <w:bCs/>
          <w:sz w:val="21"/>
          <w:szCs w:val="21"/>
        </w:rPr>
        <w:t>Elevating Privacy and Informed Consent in Genetic Data Sharing</w:t>
      </w:r>
    </w:p>
    <w:p w14:paraId="00000003" w14:textId="495ED1D3" w:rsidR="004A4073" w:rsidRPr="003912DA" w:rsidRDefault="00792B80" w:rsidP="00792B80">
      <w:pPr>
        <w:rPr>
          <w:rFonts w:eastAsia="Roboto"/>
          <w:bCs/>
          <w:color w:val="0D0D0D"/>
          <w:sz w:val="21"/>
          <w:szCs w:val="21"/>
          <w:highlight w:val="white"/>
        </w:rPr>
      </w:pPr>
      <w:r w:rsidRPr="003912DA">
        <w:rPr>
          <w:bCs/>
          <w:sz w:val="21"/>
          <w:szCs w:val="21"/>
        </w:rPr>
        <w:t>Wanjun Gu (PhD Student, University of California, San Francisco)</w:t>
      </w:r>
    </w:p>
    <w:p w14:paraId="1DD2C6BF" w14:textId="77777777" w:rsidR="00610C61" w:rsidRPr="003912DA" w:rsidRDefault="00610C61">
      <w:pPr>
        <w:rPr>
          <w:rFonts w:eastAsia="Roboto"/>
          <w:bCs/>
          <w:color w:val="0D0D0D"/>
          <w:sz w:val="21"/>
          <w:szCs w:val="21"/>
          <w:highlight w:val="white"/>
        </w:rPr>
      </w:pPr>
    </w:p>
    <w:p w14:paraId="77562F78" w14:textId="77777777" w:rsidR="00792B80" w:rsidRPr="003912DA" w:rsidRDefault="00792B80">
      <w:pPr>
        <w:rPr>
          <w:rFonts w:eastAsia="Roboto"/>
          <w:bCs/>
          <w:color w:val="0D0D0D"/>
          <w:sz w:val="21"/>
          <w:szCs w:val="21"/>
          <w:highlight w:val="white"/>
        </w:rPr>
        <w:sectPr w:rsidR="00792B80" w:rsidRPr="003912DA" w:rsidSect="0095151E">
          <w:headerReference w:type="default" r:id="rId7"/>
          <w:pgSz w:w="12240" w:h="15840"/>
          <w:pgMar w:top="1440" w:right="1440" w:bottom="1440" w:left="1440" w:header="720" w:footer="720" w:gutter="0"/>
          <w:pgNumType w:start="1"/>
          <w:cols w:space="720"/>
        </w:sectPr>
      </w:pPr>
    </w:p>
    <w:p w14:paraId="27D92D2C" w14:textId="77777777" w:rsidR="00792B80" w:rsidRPr="003912DA" w:rsidRDefault="00792B80" w:rsidP="00DD011E">
      <w:pPr>
        <w:jc w:val="both"/>
        <w:rPr>
          <w:rFonts w:eastAsia="Roboto"/>
          <w:b/>
          <w:color w:val="0D0D0D"/>
          <w:sz w:val="21"/>
          <w:szCs w:val="21"/>
        </w:rPr>
      </w:pPr>
      <w:r w:rsidRPr="003912DA">
        <w:rPr>
          <w:rFonts w:eastAsia="Roboto"/>
          <w:b/>
          <w:color w:val="0D0D0D"/>
          <w:sz w:val="21"/>
          <w:szCs w:val="21"/>
        </w:rPr>
        <w:t>Introduction</w:t>
      </w:r>
    </w:p>
    <w:p w14:paraId="51A6A67C" w14:textId="77777777" w:rsidR="00792B80" w:rsidRPr="003912DA" w:rsidRDefault="00792B80" w:rsidP="00DD011E">
      <w:pPr>
        <w:jc w:val="both"/>
        <w:rPr>
          <w:rFonts w:eastAsia="Roboto"/>
          <w:bCs/>
          <w:color w:val="0D0D0D"/>
          <w:sz w:val="21"/>
          <w:szCs w:val="21"/>
        </w:rPr>
      </w:pPr>
    </w:p>
    <w:p w14:paraId="014DB10D" w14:textId="49B73711" w:rsidR="00792B80" w:rsidRPr="003912DA" w:rsidRDefault="00792B80" w:rsidP="00DD011E">
      <w:pPr>
        <w:jc w:val="both"/>
        <w:rPr>
          <w:rFonts w:eastAsia="Roboto"/>
          <w:bCs/>
          <w:color w:val="0D0D0D"/>
          <w:sz w:val="21"/>
          <w:szCs w:val="21"/>
        </w:rPr>
      </w:pPr>
      <w:r w:rsidRPr="003912DA">
        <w:rPr>
          <w:rFonts w:eastAsia="Roboto"/>
          <w:bCs/>
          <w:color w:val="0D0D0D"/>
          <w:sz w:val="21"/>
          <w:szCs w:val="21"/>
        </w:rPr>
        <w:t xml:space="preserve">In recent decades, biotechnology has seen remarkable advancements, dramatically reducing the costs associated with DNA sequencing. This has led to a surge in the number of human genomes sequenced in the U.S., from medical diagnostics that utilize genetic information to pinpoint diseases and tailor treatment plans, to companies like 23andMe that analyze DNA for </w:t>
      </w:r>
      <w:r w:rsidR="00DD011E" w:rsidRPr="003912DA">
        <w:rPr>
          <w:rFonts w:eastAsia="Roboto"/>
          <w:bCs/>
          <w:color w:val="0D0D0D"/>
          <w:sz w:val="21"/>
          <w:szCs w:val="21"/>
        </w:rPr>
        <w:t>insights on not only curious</w:t>
      </w:r>
      <w:r w:rsidRPr="003912DA">
        <w:rPr>
          <w:rFonts w:eastAsia="Roboto"/>
          <w:bCs/>
          <w:color w:val="0D0D0D"/>
          <w:sz w:val="21"/>
          <w:szCs w:val="21"/>
        </w:rPr>
        <w:t xml:space="preserve"> traits such as taste preferences, height</w:t>
      </w:r>
      <w:r w:rsidR="00DD011E" w:rsidRPr="003912DA">
        <w:rPr>
          <w:rFonts w:eastAsia="Roboto"/>
          <w:bCs/>
          <w:color w:val="0D0D0D"/>
          <w:sz w:val="21"/>
          <w:szCs w:val="21"/>
        </w:rPr>
        <w:t>, and</w:t>
      </w:r>
      <w:r w:rsidRPr="003912DA">
        <w:rPr>
          <w:rFonts w:eastAsia="Roboto"/>
          <w:bCs/>
          <w:color w:val="0D0D0D"/>
          <w:sz w:val="21"/>
          <w:szCs w:val="21"/>
        </w:rPr>
        <w:t xml:space="preserve"> ancestry, </w:t>
      </w:r>
      <w:r w:rsidR="00DD011E" w:rsidRPr="003912DA">
        <w:rPr>
          <w:rFonts w:eastAsia="Roboto"/>
          <w:bCs/>
          <w:color w:val="0D0D0D"/>
          <w:sz w:val="21"/>
          <w:szCs w:val="21"/>
        </w:rPr>
        <w:t>but also</w:t>
      </w:r>
      <w:r w:rsidRPr="003912DA">
        <w:rPr>
          <w:rFonts w:eastAsia="Roboto"/>
          <w:bCs/>
          <w:color w:val="0D0D0D"/>
          <w:sz w:val="21"/>
          <w:szCs w:val="21"/>
        </w:rPr>
        <w:t xml:space="preserve"> </w:t>
      </w:r>
      <w:r w:rsidR="00DD011E" w:rsidRPr="003912DA">
        <w:rPr>
          <w:rFonts w:eastAsia="Roboto"/>
          <w:bCs/>
          <w:color w:val="0D0D0D"/>
          <w:sz w:val="21"/>
          <w:szCs w:val="21"/>
        </w:rPr>
        <w:t>highly medically relevant traits such as</w:t>
      </w:r>
      <w:r w:rsidRPr="003912DA">
        <w:rPr>
          <w:rFonts w:eastAsia="Roboto"/>
          <w:bCs/>
          <w:color w:val="0D0D0D"/>
          <w:sz w:val="21"/>
          <w:szCs w:val="21"/>
        </w:rPr>
        <w:t xml:space="preserve"> disease </w:t>
      </w:r>
      <w:r w:rsidR="00DD011E" w:rsidRPr="003912DA">
        <w:rPr>
          <w:rFonts w:eastAsia="Roboto"/>
          <w:bCs/>
          <w:color w:val="0D0D0D"/>
          <w:sz w:val="21"/>
          <w:szCs w:val="21"/>
        </w:rPr>
        <w:t>risks</w:t>
      </w:r>
      <w:r w:rsidRPr="003912DA">
        <w:rPr>
          <w:rFonts w:eastAsia="Roboto"/>
          <w:bCs/>
          <w:color w:val="0D0D0D"/>
          <w:sz w:val="21"/>
          <w:szCs w:val="21"/>
        </w:rPr>
        <w:t>.</w:t>
      </w:r>
    </w:p>
    <w:p w14:paraId="1C8DF693" w14:textId="77777777" w:rsidR="00792B80" w:rsidRPr="003912DA" w:rsidRDefault="00792B80" w:rsidP="00DD011E">
      <w:pPr>
        <w:jc w:val="both"/>
        <w:rPr>
          <w:rFonts w:eastAsia="Roboto"/>
          <w:bCs/>
          <w:color w:val="0D0D0D"/>
          <w:sz w:val="21"/>
          <w:szCs w:val="21"/>
        </w:rPr>
      </w:pPr>
    </w:p>
    <w:p w14:paraId="0D391762" w14:textId="77777777" w:rsidR="00792B80" w:rsidRPr="003912DA" w:rsidRDefault="00792B80" w:rsidP="00DD011E">
      <w:pPr>
        <w:jc w:val="both"/>
        <w:rPr>
          <w:rFonts w:eastAsia="Roboto"/>
          <w:bCs/>
          <w:color w:val="0D0D0D"/>
          <w:sz w:val="21"/>
          <w:szCs w:val="21"/>
        </w:rPr>
      </w:pPr>
      <w:r w:rsidRPr="003912DA">
        <w:rPr>
          <w:rFonts w:eastAsia="Roboto"/>
          <w:bCs/>
          <w:color w:val="0D0D0D"/>
          <w:sz w:val="21"/>
          <w:szCs w:val="21"/>
        </w:rPr>
        <w:t>However, in the recreational domain where companies gather genetic data to tell you about your ancestry or predict your ability to smell asparagus, regulatory oversight is scant. Many individuals, in agreeing to these tests, unknowingly provide more information than they intended. This data often benefits the companies far more than the consumers, being potentially sold to third parties, including for-profit research organizations, without clear consent or knowledge of the users.</w:t>
      </w:r>
    </w:p>
    <w:p w14:paraId="6242CF7F" w14:textId="77777777" w:rsidR="00792B80" w:rsidRPr="003912DA" w:rsidRDefault="00792B80" w:rsidP="00DD011E">
      <w:pPr>
        <w:jc w:val="both"/>
        <w:rPr>
          <w:rFonts w:eastAsia="Roboto"/>
          <w:bCs/>
          <w:color w:val="0D0D0D"/>
          <w:sz w:val="21"/>
          <w:szCs w:val="21"/>
        </w:rPr>
      </w:pPr>
    </w:p>
    <w:p w14:paraId="381F28DF" w14:textId="77777777" w:rsidR="00792B80" w:rsidRPr="003912DA" w:rsidRDefault="00792B80" w:rsidP="00DD011E">
      <w:pPr>
        <w:jc w:val="both"/>
        <w:rPr>
          <w:rFonts w:eastAsia="Roboto"/>
          <w:b/>
          <w:color w:val="0D0D0D"/>
          <w:sz w:val="21"/>
          <w:szCs w:val="21"/>
        </w:rPr>
      </w:pPr>
      <w:r w:rsidRPr="003912DA">
        <w:rPr>
          <w:rFonts w:eastAsia="Roboto"/>
          <w:b/>
          <w:color w:val="0D0D0D"/>
          <w:sz w:val="21"/>
          <w:szCs w:val="21"/>
        </w:rPr>
        <w:t>Key Issues and Findings</w:t>
      </w:r>
    </w:p>
    <w:p w14:paraId="1E6FBA32" w14:textId="77777777" w:rsidR="00792B80" w:rsidRPr="003912DA" w:rsidRDefault="00792B80" w:rsidP="00DD011E">
      <w:pPr>
        <w:jc w:val="both"/>
        <w:rPr>
          <w:rFonts w:eastAsia="Roboto"/>
          <w:bCs/>
          <w:color w:val="0D0D0D"/>
          <w:sz w:val="21"/>
          <w:szCs w:val="21"/>
        </w:rPr>
      </w:pPr>
    </w:p>
    <w:p w14:paraId="3F46D912" w14:textId="77777777" w:rsidR="00792B80" w:rsidRPr="003912DA" w:rsidRDefault="00792B80" w:rsidP="00DD011E">
      <w:pPr>
        <w:jc w:val="both"/>
        <w:rPr>
          <w:rFonts w:eastAsia="Roboto"/>
          <w:bCs/>
          <w:color w:val="0D0D0D"/>
          <w:sz w:val="21"/>
          <w:szCs w:val="21"/>
        </w:rPr>
      </w:pPr>
      <w:r w:rsidRPr="003912DA">
        <w:rPr>
          <w:rFonts w:eastAsia="Roboto"/>
          <w:bCs/>
          <w:color w:val="0D0D0D"/>
          <w:sz w:val="21"/>
          <w:szCs w:val="21"/>
        </w:rPr>
        <w:t>The regulatory landscape for commercial genetic sequencing used for recreational purposes is troublingly sparse. Existing protections like the Genetic Information Nondiscrimination Act (GINA) and the Health Insurance Portability and Accountability Act (HIPAA) mainly cover clinical settings. This leaves a significant gap when it comes to recreational genetic testing. State laws on genetic privacy are inconsistent, with some states offering robust protection and others hardly any, creating a patchwork of regulations that is confusing and often ineffective.</w:t>
      </w:r>
    </w:p>
    <w:p w14:paraId="1C025744" w14:textId="77777777" w:rsidR="00792B80" w:rsidRPr="003912DA" w:rsidRDefault="00792B80" w:rsidP="00DD011E">
      <w:pPr>
        <w:jc w:val="both"/>
        <w:rPr>
          <w:rFonts w:eastAsia="Roboto"/>
          <w:bCs/>
          <w:color w:val="0D0D0D"/>
          <w:sz w:val="21"/>
          <w:szCs w:val="21"/>
        </w:rPr>
      </w:pPr>
    </w:p>
    <w:p w14:paraId="7AD4C7CB" w14:textId="5CC34360" w:rsidR="00792B80" w:rsidRPr="003912DA" w:rsidRDefault="00792B80" w:rsidP="00DD011E">
      <w:pPr>
        <w:jc w:val="both"/>
        <w:rPr>
          <w:rFonts w:eastAsia="Roboto"/>
          <w:bCs/>
          <w:color w:val="0D0D0D"/>
          <w:sz w:val="21"/>
          <w:szCs w:val="21"/>
        </w:rPr>
      </w:pPr>
      <w:r w:rsidRPr="003912DA">
        <w:rPr>
          <w:rFonts w:eastAsia="Roboto"/>
          <w:bCs/>
          <w:color w:val="0D0D0D"/>
          <w:sz w:val="21"/>
          <w:szCs w:val="21"/>
        </w:rPr>
        <w:t>For example, while California has stringent laws requiring explicit consent for genetic data usage, other states have minimal or no such requirements, leading to potential exploitation of genetic information without proper user consent. The consequences of these disparities can be significant, affecting everything from privacy breaches to unauthorized data sharing.</w:t>
      </w:r>
    </w:p>
    <w:p w14:paraId="18EA9435" w14:textId="77777777" w:rsidR="00DD011E" w:rsidRPr="003912DA" w:rsidRDefault="00DD011E" w:rsidP="00DD011E">
      <w:pPr>
        <w:jc w:val="both"/>
        <w:rPr>
          <w:rFonts w:eastAsia="Roboto"/>
          <w:bCs/>
          <w:color w:val="0D0D0D"/>
          <w:sz w:val="21"/>
          <w:szCs w:val="21"/>
        </w:rPr>
      </w:pPr>
    </w:p>
    <w:p w14:paraId="29B6E50D" w14:textId="77777777" w:rsidR="00DD011E" w:rsidRPr="003912DA" w:rsidRDefault="00DD011E" w:rsidP="00DD011E">
      <w:pPr>
        <w:jc w:val="both"/>
        <w:rPr>
          <w:bCs/>
          <w:sz w:val="21"/>
          <w:szCs w:val="21"/>
        </w:rPr>
      </w:pPr>
      <w:r w:rsidRPr="003912DA">
        <w:rPr>
          <w:bCs/>
          <w:noProof/>
          <w:sz w:val="21"/>
          <w:szCs w:val="21"/>
        </w:rPr>
        <w:drawing>
          <wp:inline distT="0" distB="0" distL="0" distR="0" wp14:anchorId="40873C40" wp14:editId="1F1F2D35">
            <wp:extent cx="2882854" cy="2402378"/>
            <wp:effectExtent l="0" t="0" r="635" b="0"/>
            <wp:docPr id="25749558" name="Picture 1" descr="A graph showing the number of genom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558" name="Picture 1" descr="A graph showing the number of genom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4571" cy="2437142"/>
                    </a:xfrm>
                    <a:prstGeom prst="rect">
                      <a:avLst/>
                    </a:prstGeom>
                  </pic:spPr>
                </pic:pic>
              </a:graphicData>
            </a:graphic>
          </wp:inline>
        </w:drawing>
      </w:r>
    </w:p>
    <w:p w14:paraId="687DE356" w14:textId="336B097A" w:rsidR="00DD011E" w:rsidRDefault="00DD011E" w:rsidP="00DD011E">
      <w:pPr>
        <w:jc w:val="both"/>
        <w:rPr>
          <w:rFonts w:eastAsia="Roboto"/>
          <w:bCs/>
          <w:i/>
          <w:iCs/>
          <w:color w:val="0D0D0D"/>
          <w:sz w:val="21"/>
          <w:szCs w:val="21"/>
        </w:rPr>
      </w:pPr>
      <w:r w:rsidRPr="003912DA">
        <w:rPr>
          <w:rFonts w:eastAsia="Roboto"/>
          <w:bCs/>
          <w:i/>
          <w:iCs/>
          <w:color w:val="0D0D0D"/>
          <w:sz w:val="21"/>
          <w:szCs w:val="21"/>
        </w:rPr>
        <w:t xml:space="preserve">This graph shows the dramatic increase in the number of </w:t>
      </w:r>
      <w:r w:rsidRPr="003912DA">
        <w:rPr>
          <w:rFonts w:eastAsia="Roboto"/>
          <w:bCs/>
          <w:i/>
          <w:iCs/>
          <w:color w:val="0D0D0D"/>
          <w:sz w:val="21"/>
          <w:szCs w:val="21"/>
        </w:rPr>
        <w:t xml:space="preserve">human </w:t>
      </w:r>
      <w:r w:rsidRPr="003912DA">
        <w:rPr>
          <w:rFonts w:eastAsia="Roboto"/>
          <w:bCs/>
          <w:i/>
          <w:iCs/>
          <w:color w:val="0D0D0D"/>
          <w:sz w:val="21"/>
          <w:szCs w:val="21"/>
        </w:rPr>
        <w:t>genomes sequenced in the U.S. from 1995 to 2024, juxtaposed against the slow pace at which relevant laws</w:t>
      </w:r>
      <w:r w:rsidRPr="003912DA">
        <w:rPr>
          <w:rFonts w:eastAsia="Roboto"/>
          <w:bCs/>
          <w:i/>
          <w:iCs/>
          <w:color w:val="0D0D0D"/>
          <w:sz w:val="21"/>
          <w:szCs w:val="21"/>
        </w:rPr>
        <w:t xml:space="preserve"> (GINA, HIPAA, the Genetic Privacy Laws, the Telemedicine Laws, and the Informed Consent Laws featured)</w:t>
      </w:r>
      <w:r w:rsidRPr="003912DA">
        <w:rPr>
          <w:rFonts w:eastAsia="Roboto"/>
          <w:bCs/>
          <w:i/>
          <w:iCs/>
          <w:color w:val="0D0D0D"/>
          <w:sz w:val="21"/>
          <w:szCs w:val="21"/>
        </w:rPr>
        <w:t xml:space="preserve"> have been enacted. This stark contrast underscores the pressing need for strengthened regulations in the genetic services industry.</w:t>
      </w:r>
    </w:p>
    <w:p w14:paraId="68417D26" w14:textId="77777777" w:rsidR="003912DA" w:rsidRPr="003912DA" w:rsidRDefault="003912DA" w:rsidP="00DD011E">
      <w:pPr>
        <w:jc w:val="both"/>
        <w:rPr>
          <w:rFonts w:eastAsia="Roboto"/>
          <w:bCs/>
          <w:i/>
          <w:iCs/>
          <w:color w:val="0D0D0D"/>
          <w:sz w:val="21"/>
          <w:szCs w:val="21"/>
        </w:rPr>
      </w:pPr>
    </w:p>
    <w:p w14:paraId="50019F1F" w14:textId="77777777" w:rsidR="00792B80" w:rsidRPr="003912DA" w:rsidRDefault="00792B80" w:rsidP="00DD011E">
      <w:pPr>
        <w:jc w:val="both"/>
        <w:rPr>
          <w:rFonts w:eastAsia="Roboto"/>
          <w:bCs/>
          <w:color w:val="0D0D0D"/>
          <w:sz w:val="21"/>
          <w:szCs w:val="21"/>
        </w:rPr>
      </w:pPr>
      <w:r w:rsidRPr="003912DA">
        <w:rPr>
          <w:rFonts w:eastAsia="Roboto"/>
          <w:bCs/>
          <w:color w:val="0D0D0D"/>
          <w:sz w:val="21"/>
          <w:szCs w:val="21"/>
        </w:rPr>
        <w:t xml:space="preserve">Moreover, the process of obtaining consent from users is often flawed. Many individuals struggle with the complexity of consent agreements and do not fully understand the implications of sharing their genetic information. Studies suggest that a substantial majority of users feel confused by the </w:t>
      </w:r>
      <w:r w:rsidRPr="003912DA">
        <w:rPr>
          <w:rFonts w:eastAsia="Roboto"/>
          <w:bCs/>
          <w:color w:val="0D0D0D"/>
          <w:sz w:val="21"/>
          <w:szCs w:val="21"/>
        </w:rPr>
        <w:lastRenderedPageBreak/>
        <w:t>terminology used in these agreements, with only about 20% fully understanding the terms to which they agree.</w:t>
      </w:r>
    </w:p>
    <w:p w14:paraId="69424326" w14:textId="77777777" w:rsidR="00792B80" w:rsidRPr="003912DA" w:rsidRDefault="00792B80" w:rsidP="00DD011E">
      <w:pPr>
        <w:jc w:val="both"/>
        <w:rPr>
          <w:rFonts w:eastAsia="Roboto"/>
          <w:bCs/>
          <w:color w:val="0D0D0D"/>
          <w:sz w:val="21"/>
          <w:szCs w:val="21"/>
        </w:rPr>
      </w:pPr>
    </w:p>
    <w:p w14:paraId="2E16EF4F" w14:textId="77777777" w:rsidR="00792B80" w:rsidRPr="003912DA" w:rsidRDefault="00792B80" w:rsidP="00DD011E">
      <w:pPr>
        <w:jc w:val="both"/>
        <w:rPr>
          <w:rFonts w:eastAsia="Roboto"/>
          <w:bCs/>
          <w:color w:val="0D0D0D"/>
          <w:sz w:val="21"/>
          <w:szCs w:val="21"/>
        </w:rPr>
      </w:pPr>
      <w:r w:rsidRPr="003912DA">
        <w:rPr>
          <w:rFonts w:eastAsia="Roboto"/>
          <w:bCs/>
          <w:color w:val="0D0D0D"/>
          <w:sz w:val="21"/>
          <w:szCs w:val="21"/>
        </w:rPr>
        <w:t>The blurred lines between recreational and medical use of genetic tests are particularly concerning. Increasingly, patients are bringing their direct-to-consumer genetic results to medical appointments, expecting health professionals to integrate this information into their medical care, which is often not feasible or appropriate.</w:t>
      </w:r>
    </w:p>
    <w:p w14:paraId="40E76FC2" w14:textId="77777777" w:rsidR="00792B80" w:rsidRPr="003912DA" w:rsidRDefault="00792B80" w:rsidP="00DD011E">
      <w:pPr>
        <w:jc w:val="both"/>
        <w:rPr>
          <w:rFonts w:eastAsia="Roboto"/>
          <w:bCs/>
          <w:color w:val="0D0D0D"/>
          <w:sz w:val="21"/>
          <w:szCs w:val="21"/>
        </w:rPr>
      </w:pPr>
    </w:p>
    <w:p w14:paraId="55108317" w14:textId="5D3F3438" w:rsidR="00792B80" w:rsidRDefault="00792B80" w:rsidP="00DD011E">
      <w:pPr>
        <w:jc w:val="both"/>
        <w:rPr>
          <w:rFonts w:eastAsia="Roboto"/>
          <w:b/>
          <w:color w:val="0D0D0D"/>
          <w:sz w:val="21"/>
          <w:szCs w:val="21"/>
        </w:rPr>
      </w:pPr>
      <w:r w:rsidRPr="003912DA">
        <w:rPr>
          <w:rFonts w:eastAsia="Roboto"/>
          <w:b/>
          <w:color w:val="0D0D0D"/>
          <w:sz w:val="21"/>
          <w:szCs w:val="21"/>
        </w:rPr>
        <w:t>Urgent Actions Needed</w:t>
      </w:r>
    </w:p>
    <w:p w14:paraId="5B430331" w14:textId="77777777" w:rsidR="003912DA" w:rsidRPr="003912DA" w:rsidRDefault="003912DA" w:rsidP="00DD011E">
      <w:pPr>
        <w:jc w:val="both"/>
        <w:rPr>
          <w:rFonts w:eastAsia="Roboto"/>
          <w:b/>
          <w:color w:val="0D0D0D"/>
          <w:sz w:val="21"/>
          <w:szCs w:val="21"/>
        </w:rPr>
      </w:pPr>
    </w:p>
    <w:p w14:paraId="7581E7C3" w14:textId="77777777" w:rsidR="00792B80" w:rsidRPr="003912DA" w:rsidRDefault="00792B80" w:rsidP="00DD011E">
      <w:pPr>
        <w:jc w:val="both"/>
        <w:rPr>
          <w:rFonts w:eastAsia="Roboto"/>
          <w:bCs/>
          <w:color w:val="0D0D0D"/>
          <w:sz w:val="21"/>
          <w:szCs w:val="21"/>
        </w:rPr>
      </w:pPr>
      <w:r w:rsidRPr="003912DA">
        <w:rPr>
          <w:rFonts w:eastAsia="Roboto"/>
          <w:bCs/>
          <w:color w:val="0D0D0D"/>
          <w:sz w:val="21"/>
          <w:szCs w:val="21"/>
        </w:rPr>
        <w:t>The urgency for governmental action at both state and federal levels is clear. The following steps are essential:</w:t>
      </w:r>
    </w:p>
    <w:p w14:paraId="13A51EF3" w14:textId="77777777" w:rsidR="00792B80" w:rsidRPr="003912DA" w:rsidRDefault="00792B80" w:rsidP="00DD011E">
      <w:pPr>
        <w:jc w:val="both"/>
        <w:rPr>
          <w:rFonts w:eastAsia="Roboto"/>
          <w:bCs/>
          <w:color w:val="0D0D0D"/>
          <w:sz w:val="21"/>
          <w:szCs w:val="21"/>
        </w:rPr>
      </w:pPr>
    </w:p>
    <w:p w14:paraId="35408B88" w14:textId="277337EC" w:rsidR="00792B80" w:rsidRPr="003912DA" w:rsidRDefault="00F277D0" w:rsidP="00DD011E">
      <w:pPr>
        <w:jc w:val="both"/>
        <w:rPr>
          <w:rFonts w:eastAsia="Roboto"/>
          <w:bCs/>
          <w:color w:val="0D0D0D"/>
          <w:sz w:val="21"/>
          <w:szCs w:val="21"/>
        </w:rPr>
      </w:pPr>
      <w:r w:rsidRPr="003912DA">
        <w:rPr>
          <w:rFonts w:eastAsia="Roboto"/>
          <w:b/>
          <w:color w:val="0D0D0D"/>
          <w:sz w:val="21"/>
          <w:szCs w:val="21"/>
        </w:rPr>
        <w:t xml:space="preserve">Standardized User Consent: </w:t>
      </w:r>
      <w:r w:rsidRPr="003912DA">
        <w:rPr>
          <w:rFonts w:eastAsia="Roboto"/>
          <w:bCs/>
          <w:color w:val="0D0D0D"/>
          <w:sz w:val="21"/>
          <w:szCs w:val="21"/>
        </w:rPr>
        <w:t>Clear, understandable user consent guidelines are crucial. A diverse task force will design consent forms detailing data usage, risks, sharing policies, and withdrawal options. The U.S. Department of Health and Human Services, through the Office for Civil Rights, will enforce compliance across genetic testing companies. This initiative will enhance transparency, increase user trust, and promote ethical practices in genetic testing.</w:t>
      </w:r>
      <w:r w:rsidR="003912DA" w:rsidRPr="003912DA">
        <w:rPr>
          <w:rFonts w:eastAsia="Roboto"/>
          <w:bCs/>
          <w:color w:val="0D0D0D"/>
          <w:sz w:val="21"/>
          <w:szCs w:val="21"/>
        </w:rPr>
        <w:t xml:space="preserve"> </w:t>
      </w:r>
      <w:r w:rsidR="003912DA" w:rsidRPr="003912DA">
        <w:rPr>
          <w:rFonts w:eastAsia="Roboto"/>
          <w:bCs/>
          <w:color w:val="0D0D0D"/>
          <w:sz w:val="21"/>
          <w:szCs w:val="21"/>
        </w:rPr>
        <w:t>Standardizing User Consent would require an initial outlay of around $500,000 for development, plus $1 million annually for enforcement. Genetic testing companies might each spend about $100,000 annually on compliance.</w:t>
      </w:r>
    </w:p>
    <w:p w14:paraId="006744CD" w14:textId="77777777" w:rsidR="00F277D0" w:rsidRPr="003912DA" w:rsidRDefault="00F277D0" w:rsidP="00DD011E">
      <w:pPr>
        <w:jc w:val="both"/>
        <w:rPr>
          <w:rFonts w:eastAsia="Roboto"/>
          <w:bCs/>
          <w:color w:val="0D0D0D"/>
          <w:sz w:val="21"/>
          <w:szCs w:val="21"/>
        </w:rPr>
      </w:pPr>
    </w:p>
    <w:p w14:paraId="7E9DB7D0" w14:textId="714DB056" w:rsidR="00792B80" w:rsidRPr="003912DA" w:rsidRDefault="00792B80" w:rsidP="00DD011E">
      <w:pPr>
        <w:jc w:val="both"/>
        <w:rPr>
          <w:rFonts w:eastAsia="Roboto"/>
          <w:bCs/>
          <w:color w:val="0D0D0D"/>
          <w:sz w:val="21"/>
          <w:szCs w:val="21"/>
        </w:rPr>
      </w:pPr>
      <w:r w:rsidRPr="003912DA">
        <w:rPr>
          <w:rFonts w:eastAsia="Roboto"/>
          <w:b/>
          <w:color w:val="0D0D0D"/>
          <w:sz w:val="21"/>
          <w:szCs w:val="21"/>
        </w:rPr>
        <w:t>Enhanced Privacy Protections:</w:t>
      </w:r>
      <w:r w:rsidRPr="003912DA">
        <w:rPr>
          <w:rFonts w:eastAsia="Roboto"/>
          <w:bCs/>
          <w:color w:val="0D0D0D"/>
          <w:sz w:val="21"/>
          <w:szCs w:val="21"/>
        </w:rPr>
        <w:t xml:space="preserve"> We need to expand the scope of existing laws like GINA and HIPAA to cover recreational genetic services. This expansion should be spearheaded by a coalition of lawmakers, privacy experts, and biotech leaders, focusing on safeguarding privacy and preventing misuse of genetic data.</w:t>
      </w:r>
      <w:r w:rsidR="003912DA" w:rsidRPr="003912DA">
        <w:rPr>
          <w:rFonts w:eastAsia="Roboto"/>
          <w:bCs/>
          <w:color w:val="0D0D0D"/>
          <w:sz w:val="21"/>
          <w:szCs w:val="21"/>
        </w:rPr>
        <w:t xml:space="preserve"> </w:t>
      </w:r>
      <w:r w:rsidR="003912DA" w:rsidRPr="003912DA">
        <w:rPr>
          <w:rFonts w:eastAsia="Roboto"/>
          <w:bCs/>
          <w:color w:val="0D0D0D"/>
          <w:sz w:val="21"/>
          <w:szCs w:val="21"/>
        </w:rPr>
        <w:t xml:space="preserve">Enhancing Privacy Protections could cost approximately $300,000 </w:t>
      </w:r>
      <w:r w:rsidR="003912DA" w:rsidRPr="003912DA">
        <w:rPr>
          <w:rFonts w:eastAsia="Roboto"/>
          <w:bCs/>
          <w:color w:val="0D0D0D"/>
          <w:sz w:val="21"/>
          <w:szCs w:val="21"/>
        </w:rPr>
        <w:t>for legislative development, with an ongoing enforcement cost of $1 million annually.</w:t>
      </w:r>
    </w:p>
    <w:p w14:paraId="0D31975A" w14:textId="77777777" w:rsidR="00792B80" w:rsidRPr="003912DA" w:rsidRDefault="00792B80" w:rsidP="00DD011E">
      <w:pPr>
        <w:jc w:val="both"/>
        <w:rPr>
          <w:rFonts w:eastAsia="Roboto"/>
          <w:bCs/>
          <w:color w:val="0D0D0D"/>
          <w:sz w:val="21"/>
          <w:szCs w:val="21"/>
        </w:rPr>
      </w:pPr>
    </w:p>
    <w:p w14:paraId="03A1A3EC" w14:textId="77777777" w:rsidR="00792B80" w:rsidRPr="003912DA" w:rsidRDefault="00792B80" w:rsidP="00DD011E">
      <w:pPr>
        <w:jc w:val="both"/>
        <w:rPr>
          <w:rFonts w:eastAsia="Roboto"/>
          <w:bCs/>
          <w:color w:val="0D0D0D"/>
          <w:sz w:val="21"/>
          <w:szCs w:val="21"/>
        </w:rPr>
      </w:pPr>
      <w:r w:rsidRPr="003912DA">
        <w:rPr>
          <w:rFonts w:eastAsia="Roboto"/>
          <w:b/>
          <w:color w:val="0D0D0D"/>
          <w:sz w:val="21"/>
          <w:szCs w:val="21"/>
        </w:rPr>
        <w:t>Uniform Regulation:</w:t>
      </w:r>
      <w:r w:rsidRPr="003912DA">
        <w:rPr>
          <w:rFonts w:eastAsia="Roboto"/>
          <w:bCs/>
          <w:color w:val="0D0D0D"/>
          <w:sz w:val="21"/>
          <w:szCs w:val="21"/>
        </w:rPr>
        <w:t xml:space="preserve"> Implementing uniform regulations across all states is necessary to eliminate the current discrepancies in genetic privacy laws, ensuring consistent and effective protection for all individuals.</w:t>
      </w:r>
    </w:p>
    <w:p w14:paraId="37C52C12" w14:textId="77777777" w:rsidR="00F277D0" w:rsidRPr="003912DA" w:rsidRDefault="00F277D0" w:rsidP="00DD011E">
      <w:pPr>
        <w:jc w:val="both"/>
        <w:rPr>
          <w:rFonts w:eastAsia="Roboto"/>
          <w:bCs/>
          <w:color w:val="0D0D0D"/>
          <w:sz w:val="21"/>
          <w:szCs w:val="21"/>
        </w:rPr>
      </w:pPr>
    </w:p>
    <w:p w14:paraId="6B1A43DD" w14:textId="677B2CC0" w:rsidR="00792B80" w:rsidRPr="003912DA" w:rsidRDefault="00792B80" w:rsidP="00DD011E">
      <w:pPr>
        <w:jc w:val="both"/>
        <w:rPr>
          <w:rFonts w:eastAsia="Roboto"/>
          <w:bCs/>
          <w:color w:val="0D0D0D"/>
          <w:sz w:val="21"/>
          <w:szCs w:val="21"/>
        </w:rPr>
      </w:pPr>
      <w:r w:rsidRPr="003912DA">
        <w:rPr>
          <w:rFonts w:eastAsia="Roboto"/>
          <w:b/>
          <w:color w:val="0D0D0D"/>
          <w:sz w:val="21"/>
          <w:szCs w:val="21"/>
        </w:rPr>
        <w:t>Public Awareness Campaigns:</w:t>
      </w:r>
      <w:r w:rsidRPr="003912DA">
        <w:rPr>
          <w:rFonts w:eastAsia="Roboto"/>
          <w:bCs/>
          <w:color w:val="0D0D0D"/>
          <w:sz w:val="21"/>
          <w:szCs w:val="21"/>
        </w:rPr>
        <w:t xml:space="preserve"> Launching public education campaigns is vital to enhance awareness about the significance of informed consent and the risks associated with sharing genetic information.</w:t>
      </w:r>
      <w:r w:rsidR="003912DA" w:rsidRPr="003912DA">
        <w:rPr>
          <w:rFonts w:eastAsia="Roboto"/>
          <w:bCs/>
          <w:color w:val="0D0D0D"/>
          <w:sz w:val="21"/>
          <w:szCs w:val="21"/>
        </w:rPr>
        <w:t xml:space="preserve"> </w:t>
      </w:r>
      <w:r w:rsidR="003912DA" w:rsidRPr="003912DA">
        <w:rPr>
          <w:rFonts w:eastAsia="Roboto"/>
          <w:bCs/>
          <w:color w:val="0D0D0D"/>
          <w:sz w:val="21"/>
          <w:szCs w:val="21"/>
        </w:rPr>
        <w:t>Raising public Awareness Campaigns might reach $2 million for comprehensive national initiatives.</w:t>
      </w:r>
    </w:p>
    <w:p w14:paraId="2E3551AE" w14:textId="77777777" w:rsidR="003912DA" w:rsidRPr="003912DA" w:rsidRDefault="003912DA" w:rsidP="00DD011E">
      <w:pPr>
        <w:jc w:val="both"/>
        <w:rPr>
          <w:rFonts w:eastAsia="Roboto"/>
          <w:bCs/>
          <w:color w:val="0D0D0D"/>
          <w:sz w:val="21"/>
          <w:szCs w:val="21"/>
        </w:rPr>
      </w:pPr>
    </w:p>
    <w:p w14:paraId="23E67D4F" w14:textId="06E6BF22" w:rsidR="003912DA" w:rsidRPr="003912DA" w:rsidRDefault="003912DA" w:rsidP="003912DA">
      <w:pPr>
        <w:jc w:val="both"/>
        <w:rPr>
          <w:rFonts w:eastAsia="Roboto"/>
          <w:bCs/>
          <w:color w:val="0D0D0D"/>
          <w:sz w:val="21"/>
          <w:szCs w:val="21"/>
        </w:rPr>
      </w:pPr>
      <w:r w:rsidRPr="003912DA">
        <w:rPr>
          <w:rFonts w:eastAsia="Roboto"/>
          <w:bCs/>
          <w:color w:val="0D0D0D"/>
          <w:sz w:val="21"/>
          <w:szCs w:val="21"/>
        </w:rPr>
        <w:t xml:space="preserve">Knowingly, enabling these changes can be a </w:t>
      </w:r>
      <w:r w:rsidRPr="003912DA">
        <w:rPr>
          <w:rFonts w:eastAsia="Roboto"/>
          <w:bCs/>
          <w:color w:val="0D0D0D"/>
          <w:sz w:val="21"/>
          <w:szCs w:val="21"/>
        </w:rPr>
        <w:t>financially</w:t>
      </w:r>
      <w:r w:rsidRPr="003912DA">
        <w:rPr>
          <w:rFonts w:eastAsia="Roboto"/>
          <w:bCs/>
          <w:color w:val="0D0D0D"/>
          <w:sz w:val="21"/>
          <w:szCs w:val="21"/>
        </w:rPr>
        <w:t xml:space="preserve"> significant endeavor. The cost of inaction, however, could be significantly higher. Legal liabilities from privacy breaches, public distrust resulting in market contraction, and increased healthcare costs due to inappropriate medical decisions could total over $2.1 billion. This includes tens of millions in potential fines and settlements, a 25% loss in market revenues (around $2 billion annually), and an estimated $100 million in unnecessary healthcare expenses.</w:t>
      </w:r>
    </w:p>
    <w:p w14:paraId="5C62150B" w14:textId="77777777" w:rsidR="003912DA" w:rsidRPr="003912DA" w:rsidRDefault="003912DA" w:rsidP="003912DA">
      <w:pPr>
        <w:jc w:val="both"/>
        <w:rPr>
          <w:rFonts w:eastAsia="Roboto"/>
          <w:bCs/>
          <w:color w:val="0D0D0D"/>
          <w:sz w:val="21"/>
          <w:szCs w:val="21"/>
        </w:rPr>
      </w:pPr>
    </w:p>
    <w:p w14:paraId="00000019" w14:textId="25E7EA38" w:rsidR="004A4073" w:rsidRPr="003912DA" w:rsidRDefault="003912DA" w:rsidP="003912DA">
      <w:pPr>
        <w:jc w:val="both"/>
        <w:rPr>
          <w:bCs/>
          <w:sz w:val="21"/>
          <w:szCs w:val="21"/>
        </w:rPr>
      </w:pPr>
      <w:r w:rsidRPr="003912DA">
        <w:rPr>
          <w:rFonts w:eastAsia="Roboto"/>
          <w:bCs/>
          <w:color w:val="0D0D0D"/>
          <w:sz w:val="21"/>
          <w:szCs w:val="21"/>
        </w:rPr>
        <w:t>Investing in these regulatory measures not only prevents hefty financial losses but also enhances public trust and safety, promoting broader acceptance and beneficial outcomes from genetic testing. By addressing these critical issues, we can ensure that the expansion of biotechnology benefits all, safeguarding privacy and enhancing informed consent in an age where genetic information is becoming increasingly accessible</w:t>
      </w:r>
      <w:r>
        <w:rPr>
          <w:rFonts w:eastAsia="Roboto"/>
          <w:bCs/>
          <w:color w:val="0D0D0D"/>
          <w:sz w:val="21"/>
          <w:szCs w:val="21"/>
        </w:rPr>
        <w:t xml:space="preserve"> </w:t>
      </w:r>
      <w:r w:rsidRPr="003912DA">
        <w:rPr>
          <w:rFonts w:eastAsia="Roboto"/>
          <w:bCs/>
          <w:color w:val="0D0D0D"/>
          <w:sz w:val="21"/>
          <w:szCs w:val="21"/>
        </w:rPr>
        <w:t>and increasingly sensitive.</w:t>
      </w:r>
    </w:p>
    <w:sectPr w:rsidR="004A4073" w:rsidRPr="003912DA" w:rsidSect="0095151E">
      <w:type w:val="continuous"/>
      <w:pgSz w:w="12240" w:h="15840"/>
      <w:pgMar w:top="1440" w:right="1440" w:bottom="1440" w:left="1440" w:header="720" w:footer="720" w:gutter="0"/>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39822" w14:textId="77777777" w:rsidR="0095151E" w:rsidRDefault="0095151E">
      <w:pPr>
        <w:spacing w:line="240" w:lineRule="auto"/>
      </w:pPr>
      <w:r>
        <w:separator/>
      </w:r>
    </w:p>
  </w:endnote>
  <w:endnote w:type="continuationSeparator" w:id="0">
    <w:p w14:paraId="4E06F31F" w14:textId="77777777" w:rsidR="0095151E" w:rsidRDefault="00951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22F7E801-02DE-A74D-A835-AB7FB9316C1A}"/>
    <w:embedBold r:id="rId2" w:fontKey="{BB588522-E003-F946-8559-32214D01618B}"/>
    <w:embedItalic r:id="rId3" w:fontKey="{455D033A-7F6E-E246-AE61-CDE1CE1850BE}"/>
    <w:embedBoldItalic r:id="rId4" w:fontKey="{9E128E41-CAC2-5D45-8369-94C0D70D9FC5}"/>
  </w:font>
  <w:font w:name="Times New Roman">
    <w:panose1 w:val="02020603050405020304"/>
    <w:charset w:val="00"/>
    <w:family w:val="roman"/>
    <w:pitch w:val="variable"/>
    <w:sig w:usb0="E0002EFF" w:usb1="C000785B" w:usb2="00000009" w:usb3="00000000" w:csb0="000001FF" w:csb1="00000000"/>
    <w:embedRegular r:id="rId5" w:fontKey="{DE19D75B-F5BE-1241-8905-BDFB98D99B5B}"/>
    <w:embedBold r:id="rId6" w:fontKey="{92C80EA5-8BD1-C445-8AC9-4731D26A1666}"/>
  </w:font>
  <w:font w:name="Roboto">
    <w:panose1 w:val="02000000000000000000"/>
    <w:charset w:val="00"/>
    <w:family w:val="auto"/>
    <w:pitch w:val="variable"/>
    <w:sig w:usb0="E0000AFF" w:usb1="5000217F" w:usb2="00000021" w:usb3="00000000" w:csb0="0000019F" w:csb1="00000000"/>
    <w:embedRegular r:id="rId7" w:fontKey="{1AFF770C-5429-F24A-BAD3-E2E2535B5479}"/>
    <w:embedBold r:id="rId8" w:fontKey="{674C55C4-9532-7742-A61E-711F37B396B1}"/>
    <w:embedItalic r:id="rId9" w:fontKey="{346F0436-9CF8-D244-8964-090552FE10E4}"/>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0" w:fontKey="{667D4B7A-80F9-B94A-8AD6-876F51406213}"/>
  </w:font>
  <w:font w:name="Cambria">
    <w:panose1 w:val="02040503050406030204"/>
    <w:charset w:val="00"/>
    <w:family w:val="roman"/>
    <w:pitch w:val="variable"/>
    <w:sig w:usb0="E00002FF" w:usb1="400004FF" w:usb2="00000000" w:usb3="00000000" w:csb0="0000019F" w:csb1="00000000"/>
    <w:embedRegular r:id="rId11" w:fontKey="{44FA2E77-80FF-5842-9C0F-17DB02761B0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B493B" w14:textId="77777777" w:rsidR="0095151E" w:rsidRDefault="0095151E">
      <w:pPr>
        <w:spacing w:line="240" w:lineRule="auto"/>
      </w:pPr>
      <w:r>
        <w:separator/>
      </w:r>
    </w:p>
  </w:footnote>
  <w:footnote w:type="continuationSeparator" w:id="0">
    <w:p w14:paraId="06D7AEEA" w14:textId="77777777" w:rsidR="0095151E" w:rsidRDefault="009515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B" w14:textId="77777777" w:rsidR="004A4073" w:rsidRDefault="004A407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073"/>
    <w:rsid w:val="00142377"/>
    <w:rsid w:val="00225447"/>
    <w:rsid w:val="00265DD5"/>
    <w:rsid w:val="003912DA"/>
    <w:rsid w:val="004A4073"/>
    <w:rsid w:val="00610C61"/>
    <w:rsid w:val="006F6975"/>
    <w:rsid w:val="00792B80"/>
    <w:rsid w:val="0095151E"/>
    <w:rsid w:val="009734E8"/>
    <w:rsid w:val="00A03176"/>
    <w:rsid w:val="00C14DEE"/>
    <w:rsid w:val="00C92FE9"/>
    <w:rsid w:val="00CE1B7B"/>
    <w:rsid w:val="00CE5108"/>
    <w:rsid w:val="00DD011E"/>
    <w:rsid w:val="00DF00A5"/>
    <w:rsid w:val="00F277D0"/>
    <w:rsid w:val="00F42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BAC7C2"/>
  <w15:docId w15:val="{690B59D4-0632-584F-8EDB-59C2F608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610C61"/>
    <w:pPr>
      <w:spacing w:line="240" w:lineRule="auto"/>
    </w:pPr>
  </w:style>
  <w:style w:type="character" w:styleId="CommentReference">
    <w:name w:val="annotation reference"/>
    <w:basedOn w:val="DefaultParagraphFont"/>
    <w:uiPriority w:val="99"/>
    <w:semiHidden/>
    <w:unhideWhenUsed/>
    <w:rsid w:val="00610C61"/>
    <w:rPr>
      <w:sz w:val="16"/>
      <w:szCs w:val="16"/>
    </w:rPr>
  </w:style>
  <w:style w:type="paragraph" w:styleId="CommentText">
    <w:name w:val="annotation text"/>
    <w:basedOn w:val="Normal"/>
    <w:link w:val="CommentTextChar"/>
    <w:uiPriority w:val="99"/>
    <w:semiHidden/>
    <w:unhideWhenUsed/>
    <w:rsid w:val="00610C61"/>
    <w:pPr>
      <w:spacing w:line="240" w:lineRule="auto"/>
    </w:pPr>
    <w:rPr>
      <w:sz w:val="20"/>
      <w:szCs w:val="20"/>
    </w:rPr>
  </w:style>
  <w:style w:type="character" w:customStyle="1" w:styleId="CommentTextChar">
    <w:name w:val="Comment Text Char"/>
    <w:basedOn w:val="DefaultParagraphFont"/>
    <w:link w:val="CommentText"/>
    <w:uiPriority w:val="99"/>
    <w:semiHidden/>
    <w:rsid w:val="00610C61"/>
    <w:rPr>
      <w:sz w:val="20"/>
      <w:szCs w:val="20"/>
    </w:rPr>
  </w:style>
  <w:style w:type="paragraph" w:styleId="CommentSubject">
    <w:name w:val="annotation subject"/>
    <w:basedOn w:val="CommentText"/>
    <w:next w:val="CommentText"/>
    <w:link w:val="CommentSubjectChar"/>
    <w:uiPriority w:val="99"/>
    <w:semiHidden/>
    <w:unhideWhenUsed/>
    <w:rsid w:val="00610C61"/>
    <w:rPr>
      <w:b/>
      <w:bCs/>
    </w:rPr>
  </w:style>
  <w:style w:type="character" w:customStyle="1" w:styleId="CommentSubjectChar">
    <w:name w:val="Comment Subject Char"/>
    <w:basedOn w:val="CommentTextChar"/>
    <w:link w:val="CommentSubject"/>
    <w:uiPriority w:val="99"/>
    <w:semiHidden/>
    <w:rsid w:val="00610C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521588">
      <w:bodyDiv w:val="1"/>
      <w:marLeft w:val="0"/>
      <w:marRight w:val="0"/>
      <w:marTop w:val="0"/>
      <w:marBottom w:val="0"/>
      <w:divBdr>
        <w:top w:val="none" w:sz="0" w:space="0" w:color="auto"/>
        <w:left w:val="none" w:sz="0" w:space="0" w:color="auto"/>
        <w:bottom w:val="none" w:sz="0" w:space="0" w:color="auto"/>
        <w:right w:val="none" w:sz="0" w:space="0" w:color="auto"/>
      </w:divBdr>
      <w:divsChild>
        <w:div w:id="452362222">
          <w:marLeft w:val="0"/>
          <w:marRight w:val="0"/>
          <w:marTop w:val="0"/>
          <w:marBottom w:val="0"/>
          <w:divBdr>
            <w:top w:val="single" w:sz="2" w:space="0" w:color="E3E3E3"/>
            <w:left w:val="single" w:sz="2" w:space="0" w:color="E3E3E3"/>
            <w:bottom w:val="single" w:sz="2" w:space="0" w:color="E3E3E3"/>
            <w:right w:val="single" w:sz="2" w:space="0" w:color="E3E3E3"/>
          </w:divBdr>
          <w:divsChild>
            <w:div w:id="321853923">
              <w:marLeft w:val="0"/>
              <w:marRight w:val="0"/>
              <w:marTop w:val="0"/>
              <w:marBottom w:val="0"/>
              <w:divBdr>
                <w:top w:val="single" w:sz="2" w:space="0" w:color="E3E3E3"/>
                <w:left w:val="single" w:sz="2" w:space="0" w:color="E3E3E3"/>
                <w:bottom w:val="single" w:sz="2" w:space="0" w:color="E3E3E3"/>
                <w:right w:val="single" w:sz="2" w:space="0" w:color="E3E3E3"/>
              </w:divBdr>
              <w:divsChild>
                <w:div w:id="1170293278">
                  <w:marLeft w:val="0"/>
                  <w:marRight w:val="0"/>
                  <w:marTop w:val="0"/>
                  <w:marBottom w:val="0"/>
                  <w:divBdr>
                    <w:top w:val="single" w:sz="2" w:space="0" w:color="E3E3E3"/>
                    <w:left w:val="single" w:sz="2" w:space="0" w:color="E3E3E3"/>
                    <w:bottom w:val="single" w:sz="2" w:space="0" w:color="E3E3E3"/>
                    <w:right w:val="single" w:sz="2" w:space="0" w:color="E3E3E3"/>
                  </w:divBdr>
                  <w:divsChild>
                    <w:div w:id="1091583292">
                      <w:marLeft w:val="0"/>
                      <w:marRight w:val="0"/>
                      <w:marTop w:val="0"/>
                      <w:marBottom w:val="0"/>
                      <w:divBdr>
                        <w:top w:val="single" w:sz="2" w:space="0" w:color="E3E3E3"/>
                        <w:left w:val="single" w:sz="2" w:space="0" w:color="E3E3E3"/>
                        <w:bottom w:val="single" w:sz="2" w:space="0" w:color="E3E3E3"/>
                        <w:right w:val="single" w:sz="2" w:space="0" w:color="E3E3E3"/>
                      </w:divBdr>
                      <w:divsChild>
                        <w:div w:id="507139293">
                          <w:marLeft w:val="0"/>
                          <w:marRight w:val="0"/>
                          <w:marTop w:val="0"/>
                          <w:marBottom w:val="0"/>
                          <w:divBdr>
                            <w:top w:val="single" w:sz="2" w:space="0" w:color="E3E3E3"/>
                            <w:left w:val="single" w:sz="2" w:space="0" w:color="E3E3E3"/>
                            <w:bottom w:val="single" w:sz="2" w:space="0" w:color="E3E3E3"/>
                            <w:right w:val="single" w:sz="2" w:space="0" w:color="E3E3E3"/>
                          </w:divBdr>
                          <w:divsChild>
                            <w:div w:id="530993185">
                              <w:marLeft w:val="0"/>
                              <w:marRight w:val="0"/>
                              <w:marTop w:val="0"/>
                              <w:marBottom w:val="0"/>
                              <w:divBdr>
                                <w:top w:val="single" w:sz="2" w:space="0" w:color="E3E3E3"/>
                                <w:left w:val="single" w:sz="2" w:space="0" w:color="E3E3E3"/>
                                <w:bottom w:val="single" w:sz="2" w:space="0" w:color="E3E3E3"/>
                                <w:right w:val="single" w:sz="2" w:space="0" w:color="E3E3E3"/>
                              </w:divBdr>
                              <w:divsChild>
                                <w:div w:id="2132625701">
                                  <w:marLeft w:val="0"/>
                                  <w:marRight w:val="0"/>
                                  <w:marTop w:val="100"/>
                                  <w:marBottom w:val="100"/>
                                  <w:divBdr>
                                    <w:top w:val="single" w:sz="2" w:space="0" w:color="E3E3E3"/>
                                    <w:left w:val="single" w:sz="2" w:space="0" w:color="E3E3E3"/>
                                    <w:bottom w:val="single" w:sz="2" w:space="0" w:color="E3E3E3"/>
                                    <w:right w:val="single" w:sz="2" w:space="0" w:color="E3E3E3"/>
                                  </w:divBdr>
                                  <w:divsChild>
                                    <w:div w:id="2080513810">
                                      <w:marLeft w:val="0"/>
                                      <w:marRight w:val="0"/>
                                      <w:marTop w:val="0"/>
                                      <w:marBottom w:val="0"/>
                                      <w:divBdr>
                                        <w:top w:val="single" w:sz="2" w:space="0" w:color="E3E3E3"/>
                                        <w:left w:val="single" w:sz="2" w:space="0" w:color="E3E3E3"/>
                                        <w:bottom w:val="single" w:sz="2" w:space="0" w:color="E3E3E3"/>
                                        <w:right w:val="single" w:sz="2" w:space="0" w:color="E3E3E3"/>
                                      </w:divBdr>
                                      <w:divsChild>
                                        <w:div w:id="1243103003">
                                          <w:marLeft w:val="0"/>
                                          <w:marRight w:val="0"/>
                                          <w:marTop w:val="0"/>
                                          <w:marBottom w:val="0"/>
                                          <w:divBdr>
                                            <w:top w:val="single" w:sz="2" w:space="0" w:color="E3E3E3"/>
                                            <w:left w:val="single" w:sz="2" w:space="0" w:color="E3E3E3"/>
                                            <w:bottom w:val="single" w:sz="2" w:space="0" w:color="E3E3E3"/>
                                            <w:right w:val="single" w:sz="2" w:space="0" w:color="E3E3E3"/>
                                          </w:divBdr>
                                          <w:divsChild>
                                            <w:div w:id="1964119046">
                                              <w:marLeft w:val="0"/>
                                              <w:marRight w:val="0"/>
                                              <w:marTop w:val="0"/>
                                              <w:marBottom w:val="0"/>
                                              <w:divBdr>
                                                <w:top w:val="single" w:sz="2" w:space="0" w:color="E3E3E3"/>
                                                <w:left w:val="single" w:sz="2" w:space="0" w:color="E3E3E3"/>
                                                <w:bottom w:val="single" w:sz="2" w:space="0" w:color="E3E3E3"/>
                                                <w:right w:val="single" w:sz="2" w:space="0" w:color="E3E3E3"/>
                                              </w:divBdr>
                                              <w:divsChild>
                                                <w:div w:id="1604604136">
                                                  <w:marLeft w:val="0"/>
                                                  <w:marRight w:val="0"/>
                                                  <w:marTop w:val="0"/>
                                                  <w:marBottom w:val="0"/>
                                                  <w:divBdr>
                                                    <w:top w:val="single" w:sz="2" w:space="0" w:color="E3E3E3"/>
                                                    <w:left w:val="single" w:sz="2" w:space="0" w:color="E3E3E3"/>
                                                    <w:bottom w:val="single" w:sz="2" w:space="0" w:color="E3E3E3"/>
                                                    <w:right w:val="single" w:sz="2" w:space="0" w:color="E3E3E3"/>
                                                  </w:divBdr>
                                                  <w:divsChild>
                                                    <w:div w:id="711466052">
                                                      <w:marLeft w:val="0"/>
                                                      <w:marRight w:val="0"/>
                                                      <w:marTop w:val="0"/>
                                                      <w:marBottom w:val="0"/>
                                                      <w:divBdr>
                                                        <w:top w:val="single" w:sz="2" w:space="0" w:color="E3E3E3"/>
                                                        <w:left w:val="single" w:sz="2" w:space="0" w:color="E3E3E3"/>
                                                        <w:bottom w:val="single" w:sz="2" w:space="0" w:color="E3E3E3"/>
                                                        <w:right w:val="single" w:sz="2" w:space="0" w:color="E3E3E3"/>
                                                      </w:divBdr>
                                                      <w:divsChild>
                                                        <w:div w:id="848446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9508376">
          <w:marLeft w:val="0"/>
          <w:marRight w:val="0"/>
          <w:marTop w:val="0"/>
          <w:marBottom w:val="0"/>
          <w:divBdr>
            <w:top w:val="none" w:sz="0" w:space="0" w:color="auto"/>
            <w:left w:val="none" w:sz="0" w:space="0" w:color="auto"/>
            <w:bottom w:val="none" w:sz="0" w:space="0" w:color="auto"/>
            <w:right w:val="none" w:sz="0" w:space="0" w:color="auto"/>
          </w:divBdr>
          <w:divsChild>
            <w:div w:id="1697998216">
              <w:marLeft w:val="0"/>
              <w:marRight w:val="0"/>
              <w:marTop w:val="100"/>
              <w:marBottom w:val="100"/>
              <w:divBdr>
                <w:top w:val="single" w:sz="2" w:space="0" w:color="E3E3E3"/>
                <w:left w:val="single" w:sz="2" w:space="0" w:color="E3E3E3"/>
                <w:bottom w:val="single" w:sz="2" w:space="0" w:color="E3E3E3"/>
                <w:right w:val="single" w:sz="2" w:space="0" w:color="E3E3E3"/>
              </w:divBdr>
              <w:divsChild>
                <w:div w:id="623468196">
                  <w:marLeft w:val="0"/>
                  <w:marRight w:val="0"/>
                  <w:marTop w:val="0"/>
                  <w:marBottom w:val="0"/>
                  <w:divBdr>
                    <w:top w:val="single" w:sz="2" w:space="0" w:color="E3E3E3"/>
                    <w:left w:val="single" w:sz="2" w:space="0" w:color="E3E3E3"/>
                    <w:bottom w:val="single" w:sz="2" w:space="0" w:color="E3E3E3"/>
                    <w:right w:val="single" w:sz="2" w:space="0" w:color="E3E3E3"/>
                  </w:divBdr>
                  <w:divsChild>
                    <w:div w:id="1433553376">
                      <w:marLeft w:val="0"/>
                      <w:marRight w:val="0"/>
                      <w:marTop w:val="0"/>
                      <w:marBottom w:val="0"/>
                      <w:divBdr>
                        <w:top w:val="single" w:sz="2" w:space="0" w:color="E3E3E3"/>
                        <w:left w:val="single" w:sz="2" w:space="0" w:color="E3E3E3"/>
                        <w:bottom w:val="single" w:sz="2" w:space="0" w:color="E3E3E3"/>
                        <w:right w:val="single" w:sz="2" w:space="0" w:color="E3E3E3"/>
                      </w:divBdr>
                      <w:divsChild>
                        <w:div w:id="63843737">
                          <w:marLeft w:val="0"/>
                          <w:marRight w:val="0"/>
                          <w:marTop w:val="0"/>
                          <w:marBottom w:val="0"/>
                          <w:divBdr>
                            <w:top w:val="single" w:sz="2" w:space="0" w:color="E3E3E3"/>
                            <w:left w:val="single" w:sz="2" w:space="0" w:color="E3E3E3"/>
                            <w:bottom w:val="single" w:sz="2" w:space="0" w:color="E3E3E3"/>
                            <w:right w:val="single" w:sz="2" w:space="0" w:color="E3E3E3"/>
                          </w:divBdr>
                          <w:divsChild>
                            <w:div w:id="1376463818">
                              <w:marLeft w:val="0"/>
                              <w:marRight w:val="0"/>
                              <w:marTop w:val="0"/>
                              <w:marBottom w:val="0"/>
                              <w:divBdr>
                                <w:top w:val="single" w:sz="6" w:space="0" w:color="auto"/>
                                <w:left w:val="single" w:sz="6" w:space="0" w:color="auto"/>
                                <w:bottom w:val="single" w:sz="6" w:space="0" w:color="auto"/>
                                <w:right w:val="single" w:sz="6" w:space="0" w:color="auto"/>
                              </w:divBdr>
                              <w:divsChild>
                                <w:div w:id="687025991">
                                  <w:marLeft w:val="0"/>
                                  <w:marRight w:val="0"/>
                                  <w:marTop w:val="0"/>
                                  <w:marBottom w:val="0"/>
                                  <w:divBdr>
                                    <w:top w:val="none" w:sz="0" w:space="0" w:color="auto"/>
                                    <w:left w:val="none" w:sz="0" w:space="0" w:color="auto"/>
                                    <w:bottom w:val="none" w:sz="0" w:space="0" w:color="auto"/>
                                    <w:right w:val="none" w:sz="0" w:space="0" w:color="auto"/>
                                  </w:divBdr>
                                  <w:divsChild>
                                    <w:div w:id="1848787803">
                                      <w:marLeft w:val="0"/>
                                      <w:marRight w:val="0"/>
                                      <w:marTop w:val="0"/>
                                      <w:marBottom w:val="0"/>
                                      <w:divBdr>
                                        <w:top w:val="none" w:sz="0" w:space="0" w:color="auto"/>
                                        <w:left w:val="none" w:sz="0" w:space="0" w:color="auto"/>
                                        <w:bottom w:val="none" w:sz="0" w:space="0" w:color="auto"/>
                                        <w:right w:val="none" w:sz="0" w:space="0" w:color="auto"/>
                                      </w:divBdr>
                                      <w:divsChild>
                                        <w:div w:id="342325319">
                                          <w:marLeft w:val="0"/>
                                          <w:marRight w:val="0"/>
                                          <w:marTop w:val="0"/>
                                          <w:marBottom w:val="0"/>
                                          <w:divBdr>
                                            <w:top w:val="none" w:sz="0" w:space="0" w:color="auto"/>
                                            <w:left w:val="none" w:sz="0" w:space="0" w:color="auto"/>
                                            <w:bottom w:val="none" w:sz="0" w:space="0" w:color="auto"/>
                                            <w:right w:val="none" w:sz="0" w:space="0" w:color="auto"/>
                                          </w:divBdr>
                                          <w:divsChild>
                                            <w:div w:id="32120828">
                                              <w:marLeft w:val="0"/>
                                              <w:marRight w:val="0"/>
                                              <w:marTop w:val="0"/>
                                              <w:marBottom w:val="0"/>
                                              <w:divBdr>
                                                <w:top w:val="none" w:sz="0" w:space="0" w:color="auto"/>
                                                <w:left w:val="none" w:sz="0" w:space="0" w:color="auto"/>
                                                <w:bottom w:val="none" w:sz="0" w:space="0" w:color="auto"/>
                                                <w:right w:val="none" w:sz="0" w:space="0" w:color="auto"/>
                                              </w:divBdr>
                                              <w:divsChild>
                                                <w:div w:id="1971091241">
                                                  <w:marLeft w:val="0"/>
                                                  <w:marRight w:val="0"/>
                                                  <w:marTop w:val="0"/>
                                                  <w:marBottom w:val="0"/>
                                                  <w:divBdr>
                                                    <w:top w:val="none" w:sz="0" w:space="0" w:color="auto"/>
                                                    <w:left w:val="none" w:sz="0" w:space="0" w:color="auto"/>
                                                    <w:bottom w:val="none" w:sz="0" w:space="0" w:color="auto"/>
                                                    <w:right w:val="none" w:sz="0" w:space="0" w:color="auto"/>
                                                  </w:divBdr>
                                                  <w:divsChild>
                                                    <w:div w:id="1570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37ED6-8FA0-7B42-B4EC-3B388675C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Pages>
  <Words>866</Words>
  <Characters>5233</Characters>
  <Application>Microsoft Office Word</Application>
  <DocSecurity>0</DocSecurity>
  <Lines>78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Wanjun Gu</cp:lastModifiedBy>
  <cp:revision>7</cp:revision>
  <dcterms:created xsi:type="dcterms:W3CDTF">2024-05-07T18:26:00Z</dcterms:created>
  <dcterms:modified xsi:type="dcterms:W3CDTF">2024-05-10T21:25:00Z</dcterms:modified>
</cp:coreProperties>
</file>