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Jiachen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0CAA07E" w:rsidR="00FC13DD" w:rsidRPr="00AA0B50" w:rsidRDefault="00FC13DD">
      <w:pPr>
        <w:rPr>
          <w:rFonts w:ascii="Arial" w:hAnsi="Arial" w:cs="Arial"/>
          <w:sz w:val="22"/>
          <w:szCs w:val="22"/>
        </w:rPr>
      </w:pPr>
    </w:p>
    <w:p w14:paraId="0F72D2F1" w14:textId="3787A2FA"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r w:rsidR="004551F1">
        <w:rPr>
          <w:rFonts w:ascii="Arial" w:eastAsia="Calibri" w:hAnsi="Arial" w:cs="Arial"/>
          <w:sz w:val="22"/>
          <w:szCs w:val="22"/>
        </w:rPr>
        <w:t>XXXX</w:t>
      </w:r>
    </w:p>
    <w:p w14:paraId="43132E35" w14:textId="23EA5D3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w:t>
      </w:r>
      <w:r w:rsidR="000562F1">
        <w:rPr>
          <w:rFonts w:ascii="Arial" w:eastAsia="Calibri" w:hAnsi="Arial" w:cs="Arial"/>
          <w:sz w:val="22"/>
          <w:szCs w:val="22"/>
        </w:rPr>
        <w:t>2</w:t>
      </w:r>
      <w:r w:rsidRPr="00AA0B50">
        <w:rPr>
          <w:rFonts w:ascii="Arial" w:eastAsia="Calibri" w:hAnsi="Arial" w:cs="Arial"/>
          <w:sz w:val="22"/>
          <w:szCs w:val="22"/>
        </w:rPr>
        <w:t xml:space="preserve">,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412621C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w:t>
      </w:r>
      <w:commentRangeStart w:id="0"/>
      <w:r w:rsidRPr="00AA0B50">
        <w:rPr>
          <w:rFonts w:ascii="Arial" w:hAnsi="Arial" w:cs="Arial"/>
        </w:rPr>
        <w:t xml:space="preserve">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rare phenotypes.</w:t>
      </w:r>
      <w:commentRangeEnd w:id="0"/>
      <w:r w:rsidR="00C16459">
        <w:rPr>
          <w:rStyle w:val="a7"/>
        </w:rPr>
        <w:commentReference w:id="0"/>
      </w:r>
      <w:r w:rsidR="00006225" w:rsidRPr="00AA0B50">
        <w:rPr>
          <w:rFonts w:ascii="Arial" w:hAnsi="Arial" w:cs="Arial"/>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KDPS separates related individuals by considering kinship or identity by descent scores, while simultaneously prioritizing subjects based on phenotypes of interest. This approach enables the retention of valuable subjects for analysis, even in the face of necessary exclusions due to relatedness.</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lastRenderedPageBreak/>
        <w:t>Introduction</w:t>
      </w:r>
    </w:p>
    <w:p w14:paraId="3951C479" w14:textId="77777777" w:rsidR="00101616" w:rsidRPr="00AA0B50" w:rsidRDefault="00101616">
      <w:pPr>
        <w:rPr>
          <w:rFonts w:ascii="Arial" w:hAnsi="Arial" w:cs="Arial"/>
          <w:sz w:val="22"/>
          <w:szCs w:val="22"/>
        </w:rPr>
      </w:pPr>
    </w:p>
    <w:p w14:paraId="52F416DC" w14:textId="25DCF8A8"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 xml:space="preserve">accommodate </w:t>
      </w:r>
      <w:commentRangeStart w:id="1"/>
      <w:r w:rsidRPr="00AA0B50">
        <w:rPr>
          <w:rFonts w:ascii="Arial" w:hAnsi="Arial" w:cs="Arial"/>
        </w:rPr>
        <w:t>relatedness</w:t>
      </w:r>
      <w:commentRangeEnd w:id="1"/>
      <w:r w:rsidR="0014516C">
        <w:rPr>
          <w:rStyle w:val="a7"/>
        </w:rPr>
        <w:commentReference w:id="1"/>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3E24F3">
      <w:pPr>
        <w:rPr>
          <w:rFonts w:ascii="Arial" w:hAnsi="Arial" w:cs="Arial"/>
        </w:rPr>
      </w:pPr>
    </w:p>
    <w:p w14:paraId="7D486E98" w14:textId="3ADB482C" w:rsidR="00A75326" w:rsidRDefault="00EF532D">
      <w:pPr>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noProof/>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study and the genetic relationship is </w:t>
      </w:r>
      <w:r w:rsidRPr="00AA0B50">
        <w:rPr>
          <w:rFonts w:ascii="Arial" w:hAnsi="Arial" w:cs="Arial"/>
        </w:rPr>
        <w:t>unrecognized</w:t>
      </w:r>
      <w:commentRangeStart w:id="2"/>
      <w:r w:rsidRPr="00AA0B50">
        <w:rPr>
          <w:rFonts w:ascii="Arial" w:hAnsi="Arial" w:cs="Arial"/>
        </w:rPr>
        <w:t xml:space="preserve">. </w:t>
      </w:r>
      <w:commentRangeEnd w:id="2"/>
      <w:r w:rsidR="0044683B">
        <w:rPr>
          <w:rStyle w:val="a7"/>
        </w:rPr>
        <w:commentReference w:id="2"/>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pPr>
        <w:rPr>
          <w:rFonts w:ascii="Arial" w:hAnsi="Arial" w:cs="Arial"/>
        </w:rPr>
      </w:pPr>
    </w:p>
    <w:p w14:paraId="5A9DDAB1" w14:textId="7AA42C0B" w:rsidR="00857623" w:rsidRPr="00AA0B50" w:rsidRDefault="009433E1">
      <w:pPr>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w:t>
      </w:r>
      <w:proofErr w:type="gramStart"/>
      <w:r w:rsidR="006E51DC">
        <w:rPr>
          <w:rFonts w:ascii="Arial" w:hAnsi="Arial" w:cs="Arial"/>
        </w:rPr>
        <w:t>an</w:t>
      </w:r>
      <w:proofErr w:type="gramEnd"/>
      <w:r w:rsidR="006E51DC">
        <w:rPr>
          <w:rFonts w:ascii="Arial" w:hAnsi="Arial" w:cs="Arial"/>
        </w:rPr>
        <w:t xml:space="preserve">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lastRenderedPageBreak/>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604BF6EB" w:rsidR="00A001B5" w:rsidRPr="00AA0B50" w:rsidRDefault="00177704" w:rsidP="00A001B5">
      <w:pPr>
        <w:rPr>
          <w:rFonts w:ascii="Arial" w:hAnsi="Arial" w:cs="Arial"/>
        </w:rPr>
      </w:pPr>
      <w:commentRangeStart w:id="3"/>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commentRangeEnd w:id="3"/>
      <w:r w:rsidR="00232C1C">
        <w:rPr>
          <w:rStyle w:val="a7"/>
        </w:rPr>
        <w:commentReference w:id="3"/>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5D529217" w:rsidR="00A001B5" w:rsidRPr="00AA0B50" w:rsidRDefault="00A001B5" w:rsidP="00817C8F">
      <w:pPr>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different strategies based on the user-specified fuzziness score.</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r w:rsidRPr="00AA0B50">
        <w:rPr>
          <w:rFonts w:ascii="Arial" w:hAnsi="Arial" w:cs="Arial"/>
        </w:rPr>
        <w:t xml:space="preserve">This iterative removal continues until 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excluded,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6F5F4A88" w14:textId="56E56990" w:rsidR="00B448D9" w:rsidRPr="00AA0B50" w:rsidRDefault="005773A6" w:rsidP="00B448D9">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r w:rsidR="009D394E">
        <w:rPr>
          <w:rFonts w:ascii="Arial" w:hAnsi="Arial" w:cs="Arial"/>
        </w:rPr>
        <w:t>A</w:t>
      </w:r>
      <w:r w:rsidR="009D394E" w:rsidRPr="00AA0B50">
        <w:rPr>
          <w:rFonts w:ascii="Arial" w:hAnsi="Arial" w:cs="Arial"/>
        </w:rPr>
        <w:t xml:space="preserve"> complex related network (n~100</w:t>
      </w:r>
      <w:r w:rsidR="009D394E">
        <w:rPr>
          <w:rFonts w:ascii="Arial" w:hAnsi="Arial" w:cs="Arial"/>
        </w:rPr>
        <w:t xml:space="preserve"> </w:t>
      </w:r>
      <w:r w:rsidR="009D394E" w:rsidRPr="00AA0B50">
        <w:rPr>
          <w:rFonts w:ascii="Arial" w:hAnsi="Arial" w:cs="Arial"/>
        </w:rPr>
        <w:t>000</w:t>
      </w:r>
      <w:r w:rsidR="009D394E">
        <w:rPr>
          <w:rFonts w:ascii="Arial" w:hAnsi="Arial" w:cs="Arial"/>
        </w:rPr>
        <w:t xml:space="preserve"> pairs</w:t>
      </w:r>
      <w:r w:rsidR="009D394E" w:rsidRPr="00AA0B50">
        <w:rPr>
          <w:rFonts w:ascii="Arial" w:hAnsi="Arial" w:cs="Arial"/>
        </w:rPr>
        <w:t>) was simulated</w:t>
      </w:r>
      <w:r w:rsidR="009D394E">
        <w:rPr>
          <w:rFonts w:ascii="Arial" w:hAnsi="Arial" w:cs="Arial"/>
        </w:rPr>
        <w:t xml:space="preserve"> based on UK Biobank </w:t>
      </w:r>
      <w:r w:rsidR="00282EBA" w:rsidRPr="00AA0B50">
        <w:rPr>
          <w:rFonts w:ascii="Arial" w:hAnsi="Arial" w:cs="Arial"/>
        </w:rPr>
        <w:t xml:space="preserve">kinship </w:t>
      </w:r>
      <w:r w:rsidR="001A1315" w:rsidRPr="00AA0B50">
        <w:rPr>
          <w:rFonts w:ascii="Arial" w:hAnsi="Arial" w:cs="Arial"/>
        </w:rPr>
        <w:t xml:space="preserve">structure </w:t>
      </w:r>
      <w:r w:rsidR="00282EBA" w:rsidRPr="00AA0B50">
        <w:rPr>
          <w:rFonts w:ascii="Arial" w:hAnsi="Arial" w:cs="Arial"/>
        </w:rPr>
        <w:t xml:space="preserve">and a </w:t>
      </w:r>
      <w:r w:rsidR="009D394E">
        <w:rPr>
          <w:rFonts w:ascii="Arial" w:hAnsi="Arial" w:cs="Arial"/>
        </w:rPr>
        <w:t>simulated</w:t>
      </w:r>
      <w:r w:rsidR="009D394E" w:rsidRPr="00AA0B50">
        <w:rPr>
          <w:rFonts w:ascii="Arial" w:hAnsi="Arial" w:cs="Arial"/>
        </w:rPr>
        <w:t xml:space="preserve"> </w:t>
      </w:r>
      <w:r w:rsidR="00282EBA" w:rsidRPr="00AA0B50">
        <w:rPr>
          <w:rFonts w:ascii="Arial" w:hAnsi="Arial" w:cs="Arial"/>
        </w:rPr>
        <w:t>set of categorical and numerical phenotypes, detailed in Table 1.</w:t>
      </w:r>
      <w:r w:rsidR="00450E67" w:rsidRPr="00AA0B50">
        <w:rPr>
          <w:rFonts w:ascii="Arial" w:hAnsi="Arial" w:cs="Arial"/>
        </w:rPr>
        <w:t xml:space="preserve"> Furthermore, KDPS </w:t>
      </w:r>
      <w:r w:rsidR="00A01C3F">
        <w:rPr>
          <w:rFonts w:ascii="Arial" w:hAnsi="Arial" w:cs="Arial"/>
        </w:rPr>
        <w:t xml:space="preserve">was </w:t>
      </w:r>
      <w:r w:rsidR="00A01C3F" w:rsidRPr="00AA0B50">
        <w:rPr>
          <w:rFonts w:ascii="Arial" w:hAnsi="Arial" w:cs="Arial"/>
        </w:rPr>
        <w:t xml:space="preserve">applied </w:t>
      </w:r>
      <w:r w:rsidR="009D394E">
        <w:rPr>
          <w:rFonts w:ascii="Arial" w:hAnsi="Arial" w:cs="Arial"/>
        </w:rPr>
        <w:t>to</w:t>
      </w:r>
      <w:r w:rsidR="009D394E" w:rsidRPr="00AA0B50">
        <w:rPr>
          <w:rFonts w:ascii="Arial" w:hAnsi="Arial" w:cs="Arial"/>
        </w:rPr>
        <w:t xml:space="preserve"> </w:t>
      </w:r>
      <w:r w:rsidR="00450E67" w:rsidRPr="00AA0B50">
        <w:rPr>
          <w:rFonts w:ascii="Arial" w:hAnsi="Arial" w:cs="Arial"/>
        </w:rPr>
        <w:t>real-world phenotypes in the UK Biobank dataset</w:t>
      </w:r>
      <w:r w:rsidR="00B448D9">
        <w:rPr>
          <w:rFonts w:ascii="Arial" w:hAnsi="Arial" w:cs="Arial"/>
        </w:rPr>
        <w:t xml:space="preserve">, using </w:t>
      </w:r>
      <w:r w:rsidR="005F4D1F" w:rsidRPr="00AA0B50">
        <w:rPr>
          <w:rFonts w:ascii="Arial" w:hAnsi="Arial" w:cs="Arial"/>
        </w:rPr>
        <w:t xml:space="preserve">four binary phenotypes: schizophrenia, acute myocardial infarction, multiple </w:t>
      </w:r>
      <w:proofErr w:type="gramStart"/>
      <w:r w:rsidR="005F4D1F" w:rsidRPr="00AA0B50">
        <w:rPr>
          <w:rFonts w:ascii="Arial" w:hAnsi="Arial" w:cs="Arial"/>
        </w:rPr>
        <w:t>sclerosis</w:t>
      </w:r>
      <w:proofErr w:type="gramEnd"/>
      <w:r w:rsidR="005F4D1F" w:rsidRPr="00AA0B50">
        <w:rPr>
          <w:rFonts w:ascii="Arial" w:hAnsi="Arial" w:cs="Arial"/>
        </w:rPr>
        <w:t xml:space="preserve"> and alcohol drinking (ever consumed alcohol). 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r w:rsidRPr="00AA0B50">
        <w:rPr>
          <w:rFonts w:ascii="Arial" w:hAnsi="Arial" w:cs="Arial"/>
          <w:b/>
          <w:bCs/>
        </w:rPr>
        <w:t>Result</w:t>
      </w:r>
      <w:r w:rsidR="00E323E0" w:rsidRPr="00AA0B50">
        <w:rPr>
          <w:rFonts w:ascii="Arial" w:hAnsi="Arial" w:cs="Arial"/>
          <w:b/>
          <w:bCs/>
        </w:rPr>
        <w:t>s</w:t>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r w:rsidRPr="00AA0B50">
        <w:rPr>
          <w:rFonts w:ascii="Arial" w:hAnsi="Arial" w:cs="Arial"/>
        </w:rPr>
        <w:t>Simulation test results</w:t>
      </w:r>
    </w:p>
    <w:p w14:paraId="540CF5AA" w14:textId="77777777" w:rsidR="001A1315" w:rsidRPr="00AA0B50" w:rsidRDefault="001A1315" w:rsidP="004C13BF">
      <w:pPr>
        <w:rPr>
          <w:rFonts w:ascii="Arial" w:hAnsi="Arial" w:cs="Arial"/>
        </w:rPr>
      </w:pPr>
    </w:p>
    <w:p w14:paraId="25149A7D" w14:textId="5EE59D18" w:rsidR="004C13BF" w:rsidRPr="00AA0B50" w:rsidRDefault="007809AB" w:rsidP="004C13BF">
      <w:pPr>
        <w:rPr>
          <w:rFonts w:ascii="Arial" w:hAnsi="Arial" w:cs="Arial"/>
        </w:rPr>
      </w:pPr>
      <w:r>
        <w:rPr>
          <w:rFonts w:ascii="Arial" w:hAnsi="Arial" w:cs="Arial"/>
        </w:rPr>
        <w:t>T</w:t>
      </w:r>
      <w:r w:rsidRPr="00AA0B50">
        <w:rPr>
          <w:rFonts w:ascii="Arial" w:hAnsi="Arial" w:cs="Arial"/>
        </w:rPr>
        <w:t xml:space="preserve">he </w:t>
      </w:r>
      <w:r>
        <w:rPr>
          <w:rFonts w:ascii="Arial" w:hAnsi="Arial" w:cs="Arial"/>
        </w:rPr>
        <w:t xml:space="preserve">computational </w:t>
      </w:r>
      <w:r w:rsidRPr="00AA0B50">
        <w:rPr>
          <w:rFonts w:ascii="Arial" w:hAnsi="Arial" w:cs="Arial"/>
        </w:rPr>
        <w:t>time required by KDPS exhibits a logarithmic dependency on the aggregate level of relatedness among subjects, as demonstrated in simulations with increasing number of relatedness, where fuzziness score was set at zero (Figure 1</w:t>
      </w:r>
      <w:r w:rsidR="007353EE">
        <w:rPr>
          <w:rFonts w:ascii="Arial" w:hAnsi="Arial" w:cs="Arial"/>
        </w:rPr>
        <w:t>B</w:t>
      </w:r>
      <w:r w:rsidRPr="00AA0B50">
        <w:rPr>
          <w:rFonts w:ascii="Arial" w:hAnsi="Arial" w:cs="Arial"/>
        </w:rPr>
        <w:t xml:space="preserve">). </w:t>
      </w:r>
      <w:r>
        <w:rPr>
          <w:rFonts w:ascii="Arial" w:hAnsi="Arial" w:cs="Arial"/>
        </w:rPr>
        <w:t>Similarly, the</w:t>
      </w:r>
      <w:r w:rsidR="00A01C3F">
        <w:rPr>
          <w:rFonts w:ascii="Arial" w:hAnsi="Arial" w:cs="Arial"/>
        </w:rPr>
        <w:t xml:space="preserve"> </w:t>
      </w:r>
      <w:r>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r>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Pr>
          <w:rFonts w:ascii="Arial" w:hAnsi="Arial" w:cs="Arial"/>
        </w:rPr>
        <w:t>was under 15 minutes</w:t>
      </w:r>
      <w:r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Pr="00AA0B50">
        <w:rPr>
          <w:rFonts w:ascii="Arial" w:hAnsi="Arial" w:cs="Arial"/>
        </w:rPr>
        <w:t xml:space="preserve">fuzziness score. </w:t>
      </w:r>
    </w:p>
    <w:p w14:paraId="49C65D9A" w14:textId="77777777" w:rsidR="002D63BB" w:rsidRPr="00AA0B50" w:rsidRDefault="002D63BB" w:rsidP="004C13BF">
      <w:pPr>
        <w:rPr>
          <w:rFonts w:ascii="Arial" w:hAnsi="Arial" w:cs="Arial"/>
        </w:rPr>
      </w:pPr>
    </w:p>
    <w:p w14:paraId="5AAFA069" w14:textId="31DDE9D1" w:rsidR="004C13BF" w:rsidRPr="00AA0B50" w:rsidRDefault="00460129" w:rsidP="004C13BF">
      <w:pPr>
        <w:rPr>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 xml:space="preserve">from zero to ten marginally reduces the retention ratio from 0.51 to 0.49 (Figure 1D). 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r w:rsidR="004C13BF" w:rsidRPr="00AA0B50">
        <w:rPr>
          <w:rFonts w:ascii="Arial" w:hAnsi="Arial" w:cs="Arial"/>
        </w:rPr>
        <w:t xml:space="preserve"> in </w:t>
      </w:r>
      <w:r w:rsidR="005753A6">
        <w:rPr>
          <w:rFonts w:ascii="Arial" w:hAnsi="Arial" w:cs="Arial"/>
        </w:rPr>
        <w:t xml:space="preserve">increasing </w:t>
      </w:r>
      <w:r w:rsidR="004C13BF" w:rsidRPr="00AA0B50">
        <w:rPr>
          <w:rFonts w:ascii="Arial" w:hAnsi="Arial" w:cs="Arial"/>
        </w:rPr>
        <w:t xml:space="preserve">the prevalence of subjects possessing the phenotype of interest </w:t>
      </w:r>
      <w:r w:rsidR="00D56D20">
        <w:rPr>
          <w:rFonts w:ascii="Arial" w:hAnsi="Arial" w:cs="Arial"/>
        </w:rPr>
        <w:t xml:space="preserve">after </w:t>
      </w:r>
      <w:r w:rsidR="004C13BF" w:rsidRPr="00AA0B50">
        <w:rPr>
          <w:rFonts w:ascii="Arial" w:hAnsi="Arial" w:cs="Arial"/>
        </w:rPr>
        <w:t>kinship decoupling (Figure 1E). In simulations where the baseline prevalence of the phenotype of interest was set at 2</w:t>
      </w:r>
      <w:r w:rsidR="00E96973">
        <w:rPr>
          <w:rFonts w:ascii="Arial" w:hAnsi="Arial" w:cs="Arial"/>
        </w:rPr>
        <w:t>0%</w:t>
      </w:r>
      <w:r w:rsidR="004C13BF"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004C13BF" w:rsidRPr="00AA0B50">
        <w:rPr>
          <w:rFonts w:ascii="Arial" w:hAnsi="Arial" w:cs="Arial"/>
        </w:rPr>
        <w:t xml:space="preserve">, </w:t>
      </w:r>
      <w:r w:rsidR="00E96973">
        <w:rPr>
          <w:rFonts w:ascii="Arial" w:hAnsi="Arial" w:cs="Arial"/>
        </w:rPr>
        <w:t xml:space="preserve">while </w:t>
      </w:r>
      <w:r w:rsidR="004C13BF" w:rsidRPr="00AA0B50">
        <w:rPr>
          <w:rFonts w:ascii="Arial" w:hAnsi="Arial" w:cs="Arial"/>
        </w:rPr>
        <w:t xml:space="preserve">the phenotype-naïve approach </w:t>
      </w:r>
      <w:r w:rsidR="005753A6" w:rsidRPr="00AA0B50">
        <w:rPr>
          <w:rFonts w:ascii="Arial" w:hAnsi="Arial" w:cs="Arial"/>
        </w:rPr>
        <w:t>20%</w:t>
      </w:r>
      <w:r w:rsidR="004C13BF" w:rsidRPr="00AA0B50">
        <w:rPr>
          <w:rFonts w:ascii="Arial" w:hAnsi="Arial" w:cs="Arial"/>
        </w:rPr>
        <w:t xml:space="preserve">.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pPr>
        <w:rPr>
          <w:rFonts w:ascii="Arial" w:hAnsi="Arial" w:cs="Arial"/>
        </w:rPr>
      </w:pPr>
    </w:p>
    <w:p w14:paraId="4EA1B0A4" w14:textId="1EF37C70" w:rsidR="001538FC" w:rsidRPr="00AA0B50" w:rsidRDefault="00D351B5" w:rsidP="001538FC">
      <w:pPr>
        <w:rPr>
          <w:rFonts w:ascii="Arial" w:hAnsi="Arial" w:cs="Arial"/>
        </w:rPr>
      </w:pPr>
      <w:r>
        <w:rPr>
          <w:rFonts w:ascii="Arial" w:hAnsi="Arial" w:cs="Arial"/>
        </w:rPr>
        <w:lastRenderedPageBreak/>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pPr>
        <w:rPr>
          <w:rFonts w:ascii="Arial" w:hAnsi="Arial" w:cs="Arial"/>
        </w:rPr>
      </w:pP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1B294EFB" w14:textId="2322F40B" w:rsidR="005B5BDF" w:rsidRDefault="001F6CF6" w:rsidP="005B5BDF">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5B5BDF">
      <w:pPr>
        <w:rPr>
          <w:rFonts w:ascii="Arial" w:hAnsi="Arial" w:cs="Arial"/>
        </w:rPr>
      </w:pPr>
    </w:p>
    <w:p w14:paraId="1D299E33" w14:textId="2D63A6AE"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r w:rsidR="009E02C8" w:rsidRPr="00AA0B50">
        <w:rPr>
          <w:rFonts w:ascii="Arial" w:hAnsi="Arial" w:cs="Arial"/>
        </w:rPr>
        <w:t xml:space="preserve"> </w:t>
      </w:r>
    </w:p>
    <w:p w14:paraId="77947831" w14:textId="77777777" w:rsidR="006B1B4D" w:rsidRPr="00AA0B50" w:rsidRDefault="006B1B4D" w:rsidP="001F6CF6">
      <w:pPr>
        <w:rPr>
          <w:rFonts w:ascii="Arial" w:hAnsi="Arial" w:cs="Arial"/>
        </w:rPr>
      </w:pPr>
    </w:p>
    <w:p w14:paraId="6F3A47C1" w14:textId="6B6272CC" w:rsidR="001F6CF6" w:rsidRPr="00AA0B50" w:rsidRDefault="006B1B4D" w:rsidP="00FA56C8">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w:t>
      </w:r>
      <w:commentRangeStart w:id="4"/>
      <w:r w:rsidR="000E2FB7">
        <w:rPr>
          <w:rFonts w:ascii="Arial" w:hAnsi="Arial" w:cs="Arial"/>
        </w:rPr>
        <w:t xml:space="preserve">Computation times may significantly increase with </w:t>
      </w:r>
      <w:r w:rsidRPr="00AA0B50">
        <w:rPr>
          <w:rFonts w:ascii="Arial" w:hAnsi="Arial" w:cs="Arial"/>
        </w:rPr>
        <w:t>sample size</w:t>
      </w:r>
      <w:commentRangeEnd w:id="4"/>
      <w:r w:rsidR="0064777B">
        <w:rPr>
          <w:rStyle w:val="a7"/>
        </w:rPr>
        <w:commentReference w:id="4"/>
      </w:r>
      <w:r w:rsidRPr="00AA0B50">
        <w:rPr>
          <w:rFonts w:ascii="Arial" w:hAnsi="Arial" w:cs="Arial"/>
        </w:rPr>
        <w:t xml:space="preserv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s 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lastRenderedPageBreak/>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3EA566D1" w:rsidR="0081452F" w:rsidRPr="00AA0B50" w:rsidRDefault="0081452F">
      <w:pPr>
        <w:rPr>
          <w:rFonts w:ascii="Arial" w:hAnsi="Arial" w:cs="Arial"/>
        </w:rPr>
      </w:pPr>
      <w:r w:rsidRPr="00AA0B50">
        <w:rPr>
          <w:rFonts w:ascii="Arial" w:hAnsi="Arial" w:cs="Arial"/>
        </w:rPr>
        <w:t xml:space="preserve">The latest release of KDPS and documentation can be found at </w:t>
      </w:r>
      <w:r w:rsidR="005E63A6" w:rsidRPr="005E63A6">
        <w:rPr>
          <w:rFonts w:ascii="Arial" w:hAnsi="Arial" w:cs="Arial"/>
        </w:rPr>
        <w:t>https://github.com/UCSD-Salem-Lab/kdps</w:t>
      </w:r>
      <w:r w:rsidRPr="00AA0B50">
        <w:rPr>
          <w:rFonts w:ascii="Arial" w:hAnsi="Arial" w:cs="Arial"/>
        </w:rPr>
        <w:t xml:space="preserve">. The KDPS R package can be installed via 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18C624D0"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14FC86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3FCEE88B" w:rsidR="00282EBA" w:rsidRPr="00AA0B50" w:rsidRDefault="00282EBA" w:rsidP="0017691C">
            <w:pPr>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277E36A1" w:rsidR="00282EBA" w:rsidRPr="00AA0B50" w:rsidRDefault="00282EBA" w:rsidP="0017691C">
            <w:pPr>
              <w:rPr>
                <w:rFonts w:ascii="Arial" w:hAnsi="Arial" w:cs="Arial"/>
                <w:color w:val="000000"/>
              </w:rPr>
            </w:pPr>
            <w:r w:rsidRPr="00AA0B50">
              <w:rPr>
                <w:rFonts w:ascii="Arial" w:hAnsi="Arial" w:cs="Arial"/>
                <w:color w:val="000000"/>
              </w:rPr>
              <w:t xml:space="preserve">Tested with three phenotype configurations (pheno1: binary; pheno2: categorical with </w:t>
            </w:r>
            <w:r w:rsidR="005913E7">
              <w:rPr>
                <w:rFonts w:ascii="Arial" w:hAnsi="Arial" w:cs="Arial"/>
                <w:color w:val="000000"/>
              </w:rPr>
              <w:t>three</w:t>
            </w:r>
            <w:r w:rsidRPr="00AA0B50">
              <w:rPr>
                <w:rFonts w:ascii="Arial" w:hAnsi="Arial" w:cs="Arial"/>
                <w:color w:val="000000"/>
              </w:rPr>
              <w:t xml:space="preserve">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Pr="00C12785" w:rsidRDefault="00282EBA" w:rsidP="00282EBA">
      <w:pPr>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rsidP="00A96D3C">
            <w:pPr>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6FCE2481" w:rsidR="00CB662C" w:rsidRDefault="00CB662C" w:rsidP="00CB662C">
            <w:pPr>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657BE003"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0C7A2DA0" w:rsidR="00CB662C" w:rsidRDefault="00CB662C" w:rsidP="00CB662C">
            <w:pPr>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12F61C51" w:rsidR="00CB662C" w:rsidRDefault="00CB662C" w:rsidP="00CB662C">
            <w:pPr>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CB662C">
            <w:pPr>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130B2D78" w:rsidR="00CB662C" w:rsidRDefault="00CB662C" w:rsidP="00A96D3C">
            <w:pPr>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356B3B3A" w:rsidR="00CB662C" w:rsidRDefault="00CB662C" w:rsidP="00CB662C">
            <w:pPr>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3B6B6393"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48872339" w:rsidR="00CB662C" w:rsidRDefault="00CB662C" w:rsidP="00CB662C">
            <w:pPr>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4347ADBF" w:rsidR="00CB662C" w:rsidRDefault="00CB662C" w:rsidP="00CB662C">
            <w:pPr>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A96D3C">
            <w:pPr>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CB662C">
            <w:pPr>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CB662C">
            <w:pPr>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CB662C">
            <w:pPr>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CB662C">
            <w:pPr>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3B470E5A"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40F23D3C" w:rsidR="001538FC" w:rsidRDefault="001538FC" w:rsidP="001538FC">
            <w:pPr>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3F0F0747" w:rsidR="001538FC" w:rsidRDefault="001538FC" w:rsidP="001538FC">
            <w:pPr>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222F257D" w:rsidR="001538FC" w:rsidRDefault="001538FC" w:rsidP="001538FC">
            <w:pPr>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1538FC" w:rsidRDefault="001538FC" w:rsidP="001538FC">
            <w:pPr>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1538FC">
            <w:pPr>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1538FC">
            <w:pPr>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1538FC">
            <w:pPr>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1538FC">
            <w:pPr>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A96D3C">
            <w:pPr>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CB662C">
            <w:pPr>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5C686844" w:rsidR="001538FC" w:rsidRDefault="001538FC" w:rsidP="00A96D3C">
            <w:pPr>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2CC806E7" w:rsidR="001538FC" w:rsidRDefault="001538FC" w:rsidP="001538FC">
            <w:pPr>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5C3D290B" w:rsidR="001538FC" w:rsidRDefault="001538FC" w:rsidP="001538FC">
            <w:pPr>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58A68B83" w:rsidR="001538FC" w:rsidRDefault="001538FC" w:rsidP="001538FC">
            <w:pPr>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19C15D52" w:rsidR="001538FC" w:rsidRDefault="001538FC" w:rsidP="001538FC">
            <w:pPr>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1538F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A96D3C">
            <w:pPr>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1538FC">
            <w:pPr>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1538FC">
            <w:pPr>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1538FC">
            <w:pPr>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1538FC">
            <w:pPr>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rsidP="00A96D3C">
            <w:pPr>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A96D3C">
            <w:pPr>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61C45B37" w:rsidR="00CB662C" w:rsidRPr="00C12785" w:rsidRDefault="00CB662C">
      <w:pPr>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pPr>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pPr>
        <w:rPr>
          <w:rFonts w:ascii="Arial" w:hAnsi="Arial" w:cs="Arial"/>
        </w:rPr>
      </w:pPr>
    </w:p>
    <w:p w14:paraId="0B1F1288" w14:textId="77777777" w:rsidR="00A001B5" w:rsidRPr="00AA0B50" w:rsidRDefault="00A001B5" w:rsidP="003B34E6">
      <w:pPr>
        <w:ind w:left="720" w:hanging="720"/>
        <w:rPr>
          <w:rFonts w:ascii="Arial" w:hAnsi="Arial" w:cs="Arial"/>
        </w:rPr>
      </w:pPr>
    </w:p>
    <w:p w14:paraId="6F993A76" w14:textId="62A00DA1" w:rsidR="004720B1" w:rsidRPr="00AA0B50" w:rsidRDefault="004720B1" w:rsidP="00F01F69">
      <w:pPr>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4F3F4F92" w14:textId="3137CD54" w:rsidR="00F63E26" w:rsidRDefault="00036F32" w:rsidP="00006013">
      <w:pPr>
        <w:spacing w:after="240"/>
        <w:ind w:left="720" w:hanging="720"/>
        <w:rPr>
          <w:rFonts w:ascii="Arial" w:hAnsi="Arial" w:cs="Arial"/>
          <w:noProof/>
        </w:rPr>
      </w:pPr>
      <w:r w:rsidRPr="00AA0B50">
        <w:rPr>
          <w:rFonts w:ascii="Arial" w:hAnsi="Arial" w:cs="Arial"/>
        </w:rPr>
        <w:fldChar w:fldCharType="begin" w:fldLock="1"/>
      </w:r>
      <w:r w:rsidR="00F63E26">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F63E26">
        <w:rPr>
          <w:rFonts w:ascii="Arial" w:hAnsi="Arial" w:cs="Arial"/>
          <w:noProof/>
        </w:rPr>
        <w:t xml:space="preserve">Abraham, Kuruvilla Joseph, and Diaz, Clara, “Identifying Large Sets of Unrelated Individuals and Unrelated Markers,” </w:t>
      </w:r>
      <w:r w:rsidR="00F63E26" w:rsidRPr="005E63A6">
        <w:rPr>
          <w:rFonts w:ascii="Arial" w:hAnsi="Arial" w:cs="Arial"/>
          <w:i/>
          <w:noProof/>
        </w:rPr>
        <w:t>Source Code for Biology and Medicine</w:t>
      </w:r>
      <w:r w:rsidR="00F63E26">
        <w:rPr>
          <w:rFonts w:ascii="Arial" w:hAnsi="Arial" w:cs="Arial"/>
          <w:noProof/>
        </w:rPr>
        <w:t>, 9/1 (2014), 6</w:t>
      </w:r>
    </w:p>
    <w:p w14:paraId="1633891B" w14:textId="77777777" w:rsidR="00F63E26" w:rsidRDefault="00F63E26"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5E63A6">
        <w:rPr>
          <w:rFonts w:ascii="Arial" w:hAnsi="Arial" w:cs="Arial"/>
          <w:i/>
          <w:noProof/>
        </w:rPr>
        <w:t>Nature Methods</w:t>
      </w:r>
      <w:r>
        <w:rPr>
          <w:rFonts w:ascii="Arial" w:hAnsi="Arial" w:cs="Arial"/>
          <w:noProof/>
        </w:rPr>
        <w:t>, 15/4 (2018), 279–82</w:t>
      </w:r>
    </w:p>
    <w:p w14:paraId="30C769F5" w14:textId="77777777" w:rsidR="00F63E26" w:rsidRDefault="00F63E26"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5E63A6">
        <w:rPr>
          <w:rFonts w:ascii="Arial" w:hAnsi="Arial" w:cs="Arial"/>
          <w:i/>
          <w:noProof/>
        </w:rPr>
        <w:t>The HUGO Journal</w:t>
      </w:r>
      <w:r>
        <w:rPr>
          <w:rFonts w:ascii="Arial" w:hAnsi="Arial" w:cs="Arial"/>
          <w:noProof/>
        </w:rPr>
        <w:t>, 4/1–4 (2010), 23–34</w:t>
      </w:r>
    </w:p>
    <w:p w14:paraId="3182C9B7" w14:textId="77777777" w:rsidR="00F63E26" w:rsidRDefault="00F63E26" w:rsidP="00006013">
      <w:pPr>
        <w:spacing w:after="240"/>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5E63A6">
        <w:rPr>
          <w:rFonts w:ascii="Arial" w:hAnsi="Arial" w:cs="Arial"/>
          <w:i/>
          <w:noProof/>
        </w:rPr>
        <w:t>Nature</w:t>
      </w:r>
      <w:r>
        <w:rPr>
          <w:rFonts w:ascii="Arial" w:hAnsi="Arial" w:cs="Arial"/>
          <w:noProof/>
        </w:rPr>
        <w:t>, 2024 &lt;http://dx.doi.org/10.1038/s41586-023-06957-x&gt;</w:t>
      </w:r>
    </w:p>
    <w:p w14:paraId="186AD3F0" w14:textId="77777777" w:rsidR="00F63E26" w:rsidRDefault="00F63E26" w:rsidP="00006013">
      <w:pPr>
        <w:spacing w:after="240"/>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5E63A6">
        <w:rPr>
          <w:rFonts w:ascii="Arial" w:hAnsi="Arial" w:cs="Arial"/>
          <w:i/>
          <w:noProof/>
        </w:rPr>
        <w:t>The New England Journal of Medicine</w:t>
      </w:r>
      <w:r>
        <w:rPr>
          <w:rFonts w:ascii="Arial" w:hAnsi="Arial" w:cs="Arial"/>
          <w:noProof/>
        </w:rPr>
        <w:t>, 381/7 (2019), 668–76</w:t>
      </w:r>
    </w:p>
    <w:p w14:paraId="0627B203" w14:textId="77777777" w:rsidR="00F63E26" w:rsidRDefault="00F63E26"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5E63A6">
        <w:rPr>
          <w:rFonts w:ascii="Arial" w:hAnsi="Arial" w:cs="Arial"/>
          <w:i/>
          <w:noProof/>
        </w:rPr>
        <w:t>BMC Biology</w:t>
      </w:r>
      <w:r>
        <w:rPr>
          <w:rFonts w:ascii="Arial" w:hAnsi="Arial" w:cs="Arial"/>
          <w:noProof/>
        </w:rPr>
        <w:t>, 15/1 (2017), 98</w:t>
      </w:r>
    </w:p>
    <w:p w14:paraId="0AC3D5F4" w14:textId="77777777" w:rsidR="00F63E26" w:rsidRDefault="00F63E26"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5E63A6">
        <w:rPr>
          <w:rFonts w:ascii="Arial" w:hAnsi="Arial" w:cs="Arial"/>
          <w:i/>
          <w:noProof/>
        </w:rPr>
        <w:t>Nature</w:t>
      </w:r>
      <w:r>
        <w:rPr>
          <w:rFonts w:ascii="Arial" w:hAnsi="Arial" w:cs="Arial"/>
          <w:noProof/>
        </w:rPr>
        <w:t>, 562/7726 (2018), 203–9</w:t>
      </w:r>
    </w:p>
    <w:p w14:paraId="3E7148D0" w14:textId="77777777" w:rsidR="00F63E26" w:rsidRDefault="00F63E26"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5E63A6">
        <w:rPr>
          <w:rFonts w:ascii="Arial" w:hAnsi="Arial" w:cs="Arial"/>
          <w:i/>
          <w:noProof/>
        </w:rPr>
        <w:t>GigaScience</w:t>
      </w:r>
      <w:r>
        <w:rPr>
          <w:rFonts w:ascii="Arial" w:hAnsi="Arial" w:cs="Arial"/>
          <w:noProof/>
        </w:rPr>
        <w:t>, 4 (2015), 7</w:t>
      </w:r>
    </w:p>
    <w:p w14:paraId="233E1187" w14:textId="77777777" w:rsidR="00F63E26" w:rsidRDefault="00F63E26"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5E63A6">
        <w:rPr>
          <w:rFonts w:ascii="Arial" w:hAnsi="Arial" w:cs="Arial"/>
          <w:i/>
          <w:noProof/>
        </w:rPr>
        <w:t>Genetic Epidemiology</w:t>
      </w:r>
      <w:r>
        <w:rPr>
          <w:rFonts w:ascii="Arial" w:hAnsi="Arial" w:cs="Arial"/>
          <w:noProof/>
        </w:rPr>
        <w:t>, 36/5 (2012), 472–79</w:t>
      </w:r>
    </w:p>
    <w:p w14:paraId="4873272C" w14:textId="77777777" w:rsidR="00F63E26" w:rsidRDefault="00F63E26"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5E63A6">
        <w:rPr>
          <w:rFonts w:ascii="Arial" w:hAnsi="Arial" w:cs="Arial"/>
          <w:i/>
          <w:noProof/>
        </w:rPr>
        <w:t>Molecular Ecology Resources</w:t>
      </w:r>
      <w:r>
        <w:rPr>
          <w:rFonts w:ascii="Arial" w:hAnsi="Arial" w:cs="Arial"/>
          <w:noProof/>
        </w:rPr>
        <w:t>, 17/6 (2017) &lt;https://pubmed.ncbi.nlm.nih.gov/28503747/&gt; [accessed 28 February 2024]</w:t>
      </w:r>
    </w:p>
    <w:p w14:paraId="0BE205CD" w14:textId="77777777" w:rsidR="00F63E26" w:rsidRDefault="00F63E26" w:rsidP="00006013">
      <w:pPr>
        <w:spacing w:after="240"/>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Precision Health Research in a Diverse Biobank,” </w:t>
      </w:r>
      <w:r w:rsidRPr="005E63A6">
        <w:rPr>
          <w:rFonts w:ascii="Arial" w:hAnsi="Arial" w:cs="Arial"/>
          <w:i/>
          <w:noProof/>
        </w:rPr>
        <w:t>Cell Genomics</w:t>
      </w:r>
      <w:r>
        <w:rPr>
          <w:rFonts w:ascii="Arial" w:hAnsi="Arial" w:cs="Arial"/>
          <w:noProof/>
        </w:rPr>
        <w:t>, 3/1 (2023), 100243</w:t>
      </w:r>
    </w:p>
    <w:p w14:paraId="45D1BAF2" w14:textId="77777777" w:rsidR="00F63E26" w:rsidRDefault="00F63E26" w:rsidP="00006013">
      <w:pPr>
        <w:spacing w:after="240"/>
        <w:ind w:left="720" w:hanging="720"/>
        <w:rPr>
          <w:rFonts w:ascii="Arial" w:hAnsi="Arial" w:cs="Arial"/>
          <w:noProof/>
        </w:rPr>
      </w:pPr>
      <w:r>
        <w:rPr>
          <w:rFonts w:ascii="Arial" w:hAnsi="Arial" w:cs="Arial"/>
          <w:noProof/>
        </w:rPr>
        <w:lastRenderedPageBreak/>
        <w:t xml:space="preserve">Loh, Po-Ru, Tucker, George, Bulik-Sullivan, Brendan K., Vilhjálmsson, Bjarni J., Finucane, Hilary K., Salem, Rany M., et al., “Efficient Bayesian Mixed-Model Analysis Increases Association Power in Large Cohorts,” </w:t>
      </w:r>
      <w:r w:rsidRPr="005E63A6">
        <w:rPr>
          <w:rFonts w:ascii="Arial" w:hAnsi="Arial" w:cs="Arial"/>
          <w:i/>
          <w:noProof/>
        </w:rPr>
        <w:t>Nature Genetics</w:t>
      </w:r>
      <w:r>
        <w:rPr>
          <w:rFonts w:ascii="Arial" w:hAnsi="Arial" w:cs="Arial"/>
          <w:noProof/>
        </w:rPr>
        <w:t>, 47/3 (2015), 284–90</w:t>
      </w:r>
    </w:p>
    <w:p w14:paraId="609A0036" w14:textId="77777777" w:rsidR="00F63E26" w:rsidRDefault="00F63E26"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5E63A6">
        <w:rPr>
          <w:rFonts w:ascii="Arial" w:hAnsi="Arial" w:cs="Arial"/>
          <w:i/>
          <w:noProof/>
        </w:rPr>
        <w:t xml:space="preserve">Bioinformatics </w:t>
      </w:r>
      <w:r>
        <w:rPr>
          <w:rFonts w:ascii="Arial" w:hAnsi="Arial" w:cs="Arial"/>
          <w:noProof/>
        </w:rPr>
        <w:t>, 26/22 (2010), 2867–73</w:t>
      </w:r>
    </w:p>
    <w:p w14:paraId="198E74B1" w14:textId="77777777" w:rsidR="00F63E26" w:rsidRDefault="00F63E26" w:rsidP="00006013">
      <w:pPr>
        <w:spacing w:after="240"/>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5E63A6">
        <w:rPr>
          <w:rFonts w:ascii="Arial" w:hAnsi="Arial" w:cs="Arial"/>
          <w:i/>
          <w:noProof/>
        </w:rPr>
        <w:t>International Journal of Epidemiology</w:t>
      </w:r>
      <w:r>
        <w:rPr>
          <w:rFonts w:ascii="Arial" w:hAnsi="Arial" w:cs="Arial"/>
          <w:noProof/>
        </w:rPr>
        <w:t>, 47/1 (2018), 226–35</w:t>
      </w:r>
    </w:p>
    <w:p w14:paraId="1DA45DC4" w14:textId="77777777" w:rsidR="00F63E26" w:rsidRDefault="00F63E26"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5E63A6">
        <w:rPr>
          <w:rFonts w:ascii="Arial" w:hAnsi="Arial" w:cs="Arial"/>
          <w:i/>
          <w:noProof/>
        </w:rPr>
        <w:t>Preventive Medicine</w:t>
      </w:r>
      <w:r>
        <w:rPr>
          <w:rFonts w:ascii="Arial" w:hAnsi="Arial" w:cs="Arial"/>
          <w:noProof/>
        </w:rPr>
        <w:t>, 25/6 (1996), 764–70</w:t>
      </w:r>
    </w:p>
    <w:p w14:paraId="3AD4283E" w14:textId="77777777" w:rsidR="00F63E26" w:rsidRDefault="00F63E26" w:rsidP="00006013">
      <w:pPr>
        <w:spacing w:after="240"/>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5E63A6">
        <w:rPr>
          <w:rFonts w:ascii="Arial" w:hAnsi="Arial" w:cs="Arial"/>
          <w:i/>
          <w:noProof/>
        </w:rPr>
        <w:t>Clinical and Translational Science</w:t>
      </w:r>
      <w:r>
        <w:rPr>
          <w:rFonts w:ascii="Arial" w:hAnsi="Arial" w:cs="Arial"/>
          <w:noProof/>
        </w:rPr>
        <w:t>, 3/1 (2010), 42–48</w:t>
      </w:r>
    </w:p>
    <w:p w14:paraId="67F360F6" w14:textId="77777777" w:rsidR="00F63E26" w:rsidRDefault="00F63E26"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5E63A6">
        <w:rPr>
          <w:rFonts w:ascii="Arial" w:hAnsi="Arial" w:cs="Arial"/>
          <w:i/>
          <w:noProof/>
        </w:rPr>
        <w:t>BMC Bioinformatics</w:t>
      </w:r>
      <w:r>
        <w:rPr>
          <w:rFonts w:ascii="Arial" w:hAnsi="Arial" w:cs="Arial"/>
          <w:noProof/>
        </w:rPr>
        <w:t>, 13 (2012), 121</w:t>
      </w:r>
    </w:p>
    <w:p w14:paraId="5080AFD5" w14:textId="77777777" w:rsidR="00F63E26" w:rsidRDefault="00F63E26" w:rsidP="00006013">
      <w:pPr>
        <w:spacing w:after="240"/>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5E63A6">
        <w:rPr>
          <w:rFonts w:ascii="Arial" w:hAnsi="Arial" w:cs="Arial"/>
          <w:i/>
          <w:noProof/>
        </w:rPr>
        <w:t>Genes and Immunity</w:t>
      </w:r>
      <w:r>
        <w:rPr>
          <w:rFonts w:ascii="Arial" w:hAnsi="Arial" w:cs="Arial"/>
          <w:noProof/>
        </w:rPr>
        <w:t>, 24/1 (2023), 1–11</w:t>
      </w:r>
    </w:p>
    <w:p w14:paraId="15222A09" w14:textId="77777777" w:rsidR="00F63E26" w:rsidRDefault="00F63E26"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5E63A6">
        <w:rPr>
          <w:rFonts w:ascii="Arial" w:hAnsi="Arial" w:cs="Arial"/>
          <w:i/>
          <w:noProof/>
        </w:rPr>
        <w:t>PLoS Genetics</w:t>
      </w:r>
      <w:r>
        <w:rPr>
          <w:rFonts w:ascii="Arial" w:hAnsi="Arial" w:cs="Arial"/>
          <w:noProof/>
        </w:rPr>
        <w:t>, 1/3 (2005), e32</w:t>
      </w:r>
    </w:p>
    <w:p w14:paraId="080CFC2F" w14:textId="77777777" w:rsidR="00F63E26" w:rsidRDefault="00F63E26"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5E63A6">
        <w:rPr>
          <w:rFonts w:ascii="Arial" w:hAnsi="Arial" w:cs="Arial"/>
          <w:i/>
          <w:noProof/>
        </w:rPr>
        <w:t>PloS One</w:t>
      </w:r>
      <w:r>
        <w:rPr>
          <w:rFonts w:ascii="Arial" w:hAnsi="Arial" w:cs="Arial"/>
          <w:noProof/>
        </w:rPr>
        <w:t>, 12/7 (2017), e0181038</w:t>
      </w:r>
    </w:p>
    <w:p w14:paraId="78133E0B" w14:textId="6D3548CF" w:rsidR="00036F32" w:rsidRPr="00AA0B50" w:rsidRDefault="00F63E26" w:rsidP="00006013">
      <w:pPr>
        <w:spacing w:after="240"/>
        <w:ind w:left="720" w:hanging="720"/>
        <w:rPr>
          <w:rFonts w:ascii="Arial" w:hAnsi="Arial" w:cs="Arial"/>
        </w:rPr>
      </w:pPr>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5E63A6">
        <w:rPr>
          <w:rFonts w:ascii="Arial" w:hAnsi="Arial" w:cs="Arial"/>
          <w:i/>
          <w:noProof/>
        </w:rPr>
        <w:t>Nature Genetics</w:t>
      </w:r>
      <w:r>
        <w:rPr>
          <w:rFonts w:ascii="Arial" w:hAnsi="Arial" w:cs="Arial"/>
          <w:noProof/>
        </w:rPr>
        <w:t>, 50/9 (2018), 1335–41</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iachen Xi" w:date="2024-05-14T10:27:00Z" w:initials="JX">
    <w:p w14:paraId="6232079D" w14:textId="77777777" w:rsidR="00C16459" w:rsidRDefault="00C16459" w:rsidP="00C16459">
      <w:pPr>
        <w:pStyle w:val="a8"/>
      </w:pPr>
      <w:r>
        <w:rPr>
          <w:rStyle w:val="a7"/>
        </w:rPr>
        <w:annotationRef/>
      </w:r>
      <w:r>
        <w:t xml:space="preserve">Consider rephrase it to make it more clear: </w:t>
      </w:r>
      <w:r>
        <w:br/>
        <w:t>“Existing tools to break relatedness are phenotype naïve; they indiscriminately remove subjects to break relationship, risking the loss of valuable data, especially in studies targeting uncommon and rare phenotypes.”</w:t>
      </w:r>
    </w:p>
    <w:p w14:paraId="0B36FAA9" w14:textId="77777777" w:rsidR="00C16459" w:rsidRDefault="00C16459" w:rsidP="00C16459">
      <w:pPr>
        <w:pStyle w:val="a8"/>
      </w:pPr>
    </w:p>
  </w:comment>
  <w:comment w:id="1" w:author="R Salem" w:date="2024-05-05T21:28:00Z" w:initials="RS">
    <w:p w14:paraId="30592746" w14:textId="32F0B362" w:rsidR="0014516C" w:rsidRDefault="0014516C" w:rsidP="0014516C">
      <w:pPr>
        <w:pStyle w:val="a8"/>
      </w:pPr>
      <w:r>
        <w:rPr>
          <w:rStyle w:val="a7"/>
        </w:rPr>
        <w:annotationRef/>
      </w:r>
      <w:r>
        <w:t>Add reference:</w:t>
      </w:r>
    </w:p>
    <w:p w14:paraId="674470CF" w14:textId="77777777" w:rsidR="0014516C" w:rsidRDefault="0014516C" w:rsidP="0014516C">
      <w:pPr>
        <w:pStyle w:val="a8"/>
      </w:pPr>
      <w:r>
        <w:t xml:space="preserve">BOLT-LMM: </w:t>
      </w:r>
    </w:p>
    <w:p w14:paraId="47A8A0DF" w14:textId="77777777" w:rsidR="0014516C" w:rsidRDefault="00000000" w:rsidP="0014516C">
      <w:pPr>
        <w:pStyle w:val="a8"/>
      </w:pPr>
      <w:hyperlink r:id="rId1" w:history="1">
        <w:r w:rsidR="0014516C" w:rsidRPr="001573A2">
          <w:rPr>
            <w:rStyle w:val="a3"/>
          </w:rPr>
          <w:t>https://pubmed.ncbi.nlm.nih.gov/25642633/</w:t>
        </w:r>
      </w:hyperlink>
    </w:p>
    <w:p w14:paraId="2B306587" w14:textId="77777777" w:rsidR="0014516C" w:rsidRDefault="0014516C" w:rsidP="0014516C">
      <w:pPr>
        <w:pStyle w:val="a8"/>
      </w:pPr>
      <w:r>
        <w:t>SIAGE:</w:t>
      </w:r>
    </w:p>
    <w:p w14:paraId="156123EB" w14:textId="77777777" w:rsidR="0014516C" w:rsidRDefault="00000000" w:rsidP="0014516C">
      <w:pPr>
        <w:pStyle w:val="a8"/>
      </w:pPr>
      <w:hyperlink r:id="rId2" w:history="1">
        <w:r w:rsidR="0014516C" w:rsidRPr="001573A2">
          <w:rPr>
            <w:rStyle w:val="a3"/>
          </w:rPr>
          <w:t>https://pubmed.ncbi.nlm.nih.gov/30104761/</w:t>
        </w:r>
      </w:hyperlink>
    </w:p>
  </w:comment>
  <w:comment w:id="2" w:author="Jiachen Xi" w:date="2024-05-14T10:40:00Z" w:initials="JX">
    <w:p w14:paraId="4E935D5D" w14:textId="77777777" w:rsidR="0044683B" w:rsidRDefault="0044683B" w:rsidP="0044683B">
      <w:pPr>
        <w:pStyle w:val="a8"/>
      </w:pPr>
      <w:r>
        <w:rPr>
          <w:rStyle w:val="a7"/>
        </w:rPr>
        <w:annotationRef/>
      </w:r>
      <w:r>
        <w:t>Consider add the sentence below at the highlighted spot to explain how cryptic relatedness can influence the outcome of genetic studies.</w:t>
      </w:r>
      <w:r>
        <w:br/>
      </w:r>
      <w:r>
        <w:br/>
        <w:t>“This unrecognized relatedness can skew results by artificially inflating genetic similarities or associations, leading to biased estimates of genetic effects.”</w:t>
      </w:r>
    </w:p>
  </w:comment>
  <w:comment w:id="3" w:author="Jiachen Xi" w:date="2024-05-14T10:51:00Z" w:initials="JX">
    <w:p w14:paraId="60B1FE71" w14:textId="77777777" w:rsidR="00232C1C" w:rsidRPr="004D7B8C" w:rsidRDefault="00232C1C" w:rsidP="00232C1C">
      <w:pPr>
        <w:pStyle w:val="a8"/>
        <w:rPr>
          <w:rFonts w:eastAsiaTheme="minorEastAsia" w:hint="eastAsia"/>
        </w:rPr>
      </w:pPr>
      <w:r>
        <w:rPr>
          <w:rStyle w:val="a7"/>
        </w:rPr>
        <w:annotationRef/>
      </w:r>
      <w:r>
        <w:t>If we are allowed to have footnotes, consider briefly explain what these files are.</w:t>
      </w:r>
    </w:p>
  </w:comment>
  <w:comment w:id="4" w:author="Jiachen Xi" w:date="2024-05-10T11:25:00Z" w:initials="JX">
    <w:p w14:paraId="15BD5A28" w14:textId="08231E84" w:rsidR="0064777B" w:rsidRDefault="0064777B" w:rsidP="0064777B">
      <w:pPr>
        <w:pStyle w:val="a8"/>
      </w:pPr>
      <w:r>
        <w:rPr>
          <w:rStyle w:val="a7"/>
        </w:rPr>
        <w:annotationRef/>
      </w:r>
      <w:r>
        <w:t>Be more specific. Many algorithm require longer runtime with larger datasets, is KDPS different from any other algorithm in terms of runtime complexity?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36FAA9" w15:done="0"/>
  <w15:commentEx w15:paraId="156123EB" w15:done="1"/>
  <w15:commentEx w15:paraId="4E935D5D" w15:done="0"/>
  <w15:commentEx w15:paraId="60B1FE71" w15:done="0"/>
  <w15:commentEx w15:paraId="15BD5A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1D4655" w16cex:dateUtc="2024-05-14T17:27:00Z"/>
  <w16cex:commentExtensible w16cex:durableId="7432AFBA" w16cex:dateUtc="2024-05-06T04:28:00Z"/>
  <w16cex:commentExtensible w16cex:durableId="505D6D85" w16cex:dateUtc="2024-05-14T17:40:00Z"/>
  <w16cex:commentExtensible w16cex:durableId="0BA8756C" w16cex:dateUtc="2024-05-14T17:51:00Z"/>
  <w16cex:commentExtensible w16cex:durableId="42442AD5" w16cex:dateUtc="2024-05-10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36FAA9" w16cid:durableId="221D4655"/>
  <w16cid:commentId w16cid:paraId="156123EB" w16cid:durableId="7432AFBA"/>
  <w16cid:commentId w16cid:paraId="4E935D5D" w16cid:durableId="505D6D85"/>
  <w16cid:commentId w16cid:paraId="60B1FE71" w16cid:durableId="0BA8756C"/>
  <w16cid:commentId w16cid:paraId="15BD5A28" w16cid:durableId="42442A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achen Xi">
    <w15:presenceInfo w15:providerId="Windows Live" w15:userId="d30bcdd0c5486f50"/>
  </w15:person>
  <w15:person w15:author="R Salem">
    <w15:presenceInfo w15:providerId="Windows Live" w15:userId="f00ced114ad38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6F32"/>
    <w:rsid w:val="000562F1"/>
    <w:rsid w:val="00062948"/>
    <w:rsid w:val="000779BF"/>
    <w:rsid w:val="00077B41"/>
    <w:rsid w:val="00085367"/>
    <w:rsid w:val="000919BA"/>
    <w:rsid w:val="00093CCD"/>
    <w:rsid w:val="00095C47"/>
    <w:rsid w:val="000B1738"/>
    <w:rsid w:val="000E2FB7"/>
    <w:rsid w:val="00101616"/>
    <w:rsid w:val="00111995"/>
    <w:rsid w:val="00113E64"/>
    <w:rsid w:val="00117E6F"/>
    <w:rsid w:val="00126101"/>
    <w:rsid w:val="00136A5B"/>
    <w:rsid w:val="0014516C"/>
    <w:rsid w:val="001538FC"/>
    <w:rsid w:val="0016191D"/>
    <w:rsid w:val="00177704"/>
    <w:rsid w:val="00177D19"/>
    <w:rsid w:val="00181B02"/>
    <w:rsid w:val="001A1315"/>
    <w:rsid w:val="001A7755"/>
    <w:rsid w:val="001C7CE5"/>
    <w:rsid w:val="001E10B9"/>
    <w:rsid w:val="001F54AC"/>
    <w:rsid w:val="001F6CF6"/>
    <w:rsid w:val="002010D2"/>
    <w:rsid w:val="002053F8"/>
    <w:rsid w:val="002237CB"/>
    <w:rsid w:val="002311F5"/>
    <w:rsid w:val="00232C1C"/>
    <w:rsid w:val="002537AB"/>
    <w:rsid w:val="00281E63"/>
    <w:rsid w:val="00282EBA"/>
    <w:rsid w:val="00284A31"/>
    <w:rsid w:val="002A52D0"/>
    <w:rsid w:val="002B7725"/>
    <w:rsid w:val="002D63BB"/>
    <w:rsid w:val="00310D2E"/>
    <w:rsid w:val="00312F33"/>
    <w:rsid w:val="003136C5"/>
    <w:rsid w:val="00336696"/>
    <w:rsid w:val="003511B2"/>
    <w:rsid w:val="00381B19"/>
    <w:rsid w:val="003958DB"/>
    <w:rsid w:val="003A7047"/>
    <w:rsid w:val="003B34E6"/>
    <w:rsid w:val="003B71F6"/>
    <w:rsid w:val="003C2345"/>
    <w:rsid w:val="003E24F3"/>
    <w:rsid w:val="003E4B04"/>
    <w:rsid w:val="003E5F55"/>
    <w:rsid w:val="003F7AFF"/>
    <w:rsid w:val="0044683B"/>
    <w:rsid w:val="00447ED7"/>
    <w:rsid w:val="00450E67"/>
    <w:rsid w:val="004551F1"/>
    <w:rsid w:val="00460129"/>
    <w:rsid w:val="004720B1"/>
    <w:rsid w:val="004C13BF"/>
    <w:rsid w:val="004D7B8C"/>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4777B"/>
    <w:rsid w:val="00671578"/>
    <w:rsid w:val="0068306E"/>
    <w:rsid w:val="0069322D"/>
    <w:rsid w:val="00694E74"/>
    <w:rsid w:val="00695F57"/>
    <w:rsid w:val="006B0C3B"/>
    <w:rsid w:val="006B1B4D"/>
    <w:rsid w:val="006E51DC"/>
    <w:rsid w:val="006F1D19"/>
    <w:rsid w:val="006F6975"/>
    <w:rsid w:val="006F7F1C"/>
    <w:rsid w:val="00714748"/>
    <w:rsid w:val="007353EE"/>
    <w:rsid w:val="007363AE"/>
    <w:rsid w:val="007809AB"/>
    <w:rsid w:val="007B0552"/>
    <w:rsid w:val="007B57FD"/>
    <w:rsid w:val="007E2580"/>
    <w:rsid w:val="007F5880"/>
    <w:rsid w:val="00800234"/>
    <w:rsid w:val="0081452F"/>
    <w:rsid w:val="00817C8F"/>
    <w:rsid w:val="00846DA8"/>
    <w:rsid w:val="00853CF8"/>
    <w:rsid w:val="00857623"/>
    <w:rsid w:val="00861085"/>
    <w:rsid w:val="0087508B"/>
    <w:rsid w:val="00892E79"/>
    <w:rsid w:val="008A4E4B"/>
    <w:rsid w:val="008B23E2"/>
    <w:rsid w:val="008B5B9A"/>
    <w:rsid w:val="008C2DF4"/>
    <w:rsid w:val="0090667D"/>
    <w:rsid w:val="00925DDD"/>
    <w:rsid w:val="009433E1"/>
    <w:rsid w:val="009710A1"/>
    <w:rsid w:val="009D16B6"/>
    <w:rsid w:val="009D394E"/>
    <w:rsid w:val="009E02C8"/>
    <w:rsid w:val="009F5402"/>
    <w:rsid w:val="00A001B5"/>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C1E7A"/>
    <w:rsid w:val="00AD6512"/>
    <w:rsid w:val="00AE112A"/>
    <w:rsid w:val="00AF53DC"/>
    <w:rsid w:val="00B15FB4"/>
    <w:rsid w:val="00B165AD"/>
    <w:rsid w:val="00B34249"/>
    <w:rsid w:val="00B3698B"/>
    <w:rsid w:val="00B40F3C"/>
    <w:rsid w:val="00B4192A"/>
    <w:rsid w:val="00B44411"/>
    <w:rsid w:val="00B448D9"/>
    <w:rsid w:val="00B51ACC"/>
    <w:rsid w:val="00B57544"/>
    <w:rsid w:val="00B70EAE"/>
    <w:rsid w:val="00B80FBE"/>
    <w:rsid w:val="00BB18C2"/>
    <w:rsid w:val="00BC6F69"/>
    <w:rsid w:val="00BD5E22"/>
    <w:rsid w:val="00BF5394"/>
    <w:rsid w:val="00C04353"/>
    <w:rsid w:val="00C12785"/>
    <w:rsid w:val="00C16459"/>
    <w:rsid w:val="00C230D0"/>
    <w:rsid w:val="00C6772C"/>
    <w:rsid w:val="00C73E04"/>
    <w:rsid w:val="00C73EC3"/>
    <w:rsid w:val="00C83BC9"/>
    <w:rsid w:val="00C97780"/>
    <w:rsid w:val="00CB3F02"/>
    <w:rsid w:val="00CB662C"/>
    <w:rsid w:val="00CE7187"/>
    <w:rsid w:val="00D03E97"/>
    <w:rsid w:val="00D351B5"/>
    <w:rsid w:val="00D44B7F"/>
    <w:rsid w:val="00D56D20"/>
    <w:rsid w:val="00D936F3"/>
    <w:rsid w:val="00DD1D65"/>
    <w:rsid w:val="00DE1D91"/>
    <w:rsid w:val="00DF3FEB"/>
    <w:rsid w:val="00DF63D4"/>
    <w:rsid w:val="00E235C3"/>
    <w:rsid w:val="00E323E0"/>
    <w:rsid w:val="00E4218F"/>
    <w:rsid w:val="00E4414F"/>
    <w:rsid w:val="00E624AC"/>
    <w:rsid w:val="00E70258"/>
    <w:rsid w:val="00E96973"/>
    <w:rsid w:val="00EB6417"/>
    <w:rsid w:val="00EC3D91"/>
    <w:rsid w:val="00ED1768"/>
    <w:rsid w:val="00EF532D"/>
    <w:rsid w:val="00F01F69"/>
    <w:rsid w:val="00F140D1"/>
    <w:rsid w:val="00F14C7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948"/>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452F"/>
    <w:rPr>
      <w:color w:val="0563C1" w:themeColor="hyperlink"/>
      <w:u w:val="single"/>
    </w:rPr>
  </w:style>
  <w:style w:type="character" w:styleId="a4">
    <w:name w:val="Unresolved Mention"/>
    <w:basedOn w:val="a0"/>
    <w:uiPriority w:val="99"/>
    <w:semiHidden/>
    <w:unhideWhenUsed/>
    <w:rsid w:val="0081452F"/>
    <w:rPr>
      <w:color w:val="605E5C"/>
      <w:shd w:val="clear" w:color="auto" w:fill="E1DFDD"/>
    </w:rPr>
  </w:style>
  <w:style w:type="paragraph" w:styleId="a5">
    <w:name w:val="List Paragraph"/>
    <w:basedOn w:val="a"/>
    <w:uiPriority w:val="34"/>
    <w:qFormat/>
    <w:rsid w:val="001F6CF6"/>
    <w:pPr>
      <w:ind w:left="720"/>
      <w:contextualSpacing/>
    </w:pPr>
  </w:style>
  <w:style w:type="paragraph" w:styleId="a6">
    <w:name w:val="Revision"/>
    <w:hidden/>
    <w:uiPriority w:val="99"/>
    <w:semiHidden/>
    <w:rsid w:val="00381B19"/>
    <w:rPr>
      <w:rFonts w:ascii="Times New Roman" w:eastAsia="Times New Roman" w:hAnsi="Times New Roman" w:cs="Times New Roman"/>
      <w:kern w:val="0"/>
      <w14:ligatures w14:val="none"/>
    </w:rPr>
  </w:style>
  <w:style w:type="character" w:styleId="a7">
    <w:name w:val="annotation reference"/>
    <w:basedOn w:val="a0"/>
    <w:uiPriority w:val="99"/>
    <w:semiHidden/>
    <w:unhideWhenUsed/>
    <w:rsid w:val="00BB18C2"/>
    <w:rPr>
      <w:sz w:val="16"/>
      <w:szCs w:val="16"/>
    </w:rPr>
  </w:style>
  <w:style w:type="paragraph" w:styleId="a8">
    <w:name w:val="annotation text"/>
    <w:basedOn w:val="a"/>
    <w:link w:val="a9"/>
    <w:uiPriority w:val="99"/>
    <w:unhideWhenUsed/>
    <w:rsid w:val="00BB18C2"/>
    <w:rPr>
      <w:sz w:val="20"/>
      <w:szCs w:val="20"/>
    </w:rPr>
  </w:style>
  <w:style w:type="character" w:customStyle="1" w:styleId="a9">
    <w:name w:val="批注文字 字符"/>
    <w:basedOn w:val="a0"/>
    <w:link w:val="a8"/>
    <w:uiPriority w:val="99"/>
    <w:rsid w:val="00BB18C2"/>
    <w:rPr>
      <w:rFonts w:ascii="Times New Roman" w:eastAsia="Times New Roman" w:hAnsi="Times New Roman" w:cs="Times New Roman"/>
      <w:kern w:val="0"/>
      <w:sz w:val="20"/>
      <w:szCs w:val="20"/>
      <w14:ligatures w14:val="none"/>
    </w:rPr>
  </w:style>
  <w:style w:type="paragraph" w:styleId="aa">
    <w:name w:val="annotation subject"/>
    <w:basedOn w:val="a8"/>
    <w:next w:val="a8"/>
    <w:link w:val="ab"/>
    <w:uiPriority w:val="99"/>
    <w:semiHidden/>
    <w:unhideWhenUsed/>
    <w:rsid w:val="00BB18C2"/>
    <w:rPr>
      <w:b/>
      <w:bCs/>
    </w:rPr>
  </w:style>
  <w:style w:type="character" w:customStyle="1" w:styleId="ab">
    <w:name w:val="批注主题 字符"/>
    <w:basedOn w:val="a9"/>
    <w:link w:val="aa"/>
    <w:uiPriority w:val="99"/>
    <w:semiHidden/>
    <w:rsid w:val="00BB18C2"/>
    <w:rPr>
      <w:rFonts w:ascii="Times New Roman" w:eastAsia="Times New Roman" w:hAnsi="Times New Roman" w:cs="Times New Roman"/>
      <w:b/>
      <w:bCs/>
      <w:kern w:val="0"/>
      <w:sz w:val="20"/>
      <w:szCs w:val="20"/>
      <w14:ligatures w14:val="none"/>
    </w:rPr>
  </w:style>
  <w:style w:type="character" w:styleId="ac">
    <w:name w:val="FollowedHyperlink"/>
    <w:basedOn w:val="a0"/>
    <w:uiPriority w:val="99"/>
    <w:semiHidden/>
    <w:unhideWhenUsed/>
    <w:rsid w:val="005E6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30104761/" TargetMode="External"/><Relationship Id="rId1" Type="http://schemas.openxmlformats.org/officeDocument/2006/relationships/hyperlink" Target="https://pubmed.ncbi.nlm.nih.gov/2564263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11319</Words>
  <Characters>64520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Jiachen Xi</cp:lastModifiedBy>
  <cp:revision>37</cp:revision>
  <dcterms:created xsi:type="dcterms:W3CDTF">2024-04-26T05:42:00Z</dcterms:created>
  <dcterms:modified xsi:type="dcterms:W3CDTF">2024-05-14T17:54:00Z</dcterms:modified>
</cp:coreProperties>
</file>