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3F" w:rsidRPr="007B5A3F" w:rsidRDefault="007B5A3F" w:rsidP="007B5A3F">
      <w:pPr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56"/>
          <w:szCs w:val="56"/>
          <w:lang w:eastAsia="nb-NO"/>
        </w:rPr>
        <w:t>Viktige begreper (Engelsk – Norsk)</w:t>
      </w:r>
    </w:p>
    <w:p w:rsidR="007B5A3F" w:rsidRPr="007B5A3F" w:rsidRDefault="007B5A3F" w:rsidP="007B5A3F">
      <w:pPr>
        <w:spacing w:before="24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Inheritance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– Arv (</w:t>
      </w: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Kap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. 10)</w:t>
      </w:r>
    </w:p>
    <w:p w:rsidR="007B5A3F" w:rsidRPr="00A50874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highlight w:val="yellow"/>
          <w:lang w:eastAsia="nb-NO"/>
        </w:rPr>
      </w:pP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Superclass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(or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parent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class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) – superklasse (eller foreldreklasse): Klassen som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subklassene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arver fra. Inneholder alt det som er felles (felt og metoder) for alle objekter av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subklassene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. Eks: </w:t>
      </w:r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Post</w:t>
      </w:r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Subclass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(or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child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class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) –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subklasse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(eller barneklasse): Klassen som arver fra superklassen. Eks: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MessagePost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. Kan ha egne felt og metoder i tillegg til de som den arver. I Java bruker vi det reserverte ordet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extends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etter klassenavnet for å vise at det er en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subklasse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. Eks: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public</w:t>
      </w:r>
      <w:proofErr w:type="spellEnd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class</w:t>
      </w:r>
      <w:proofErr w:type="spellEnd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MessagePost</w:t>
      </w:r>
      <w:proofErr w:type="spellEnd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extends</w:t>
      </w:r>
      <w:proofErr w:type="spellEnd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Post</w:t>
      </w:r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Is a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– </w:t>
      </w:r>
      <w:proofErr w:type="spellStart"/>
      <w:proofErr w:type="gram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relationship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:</w:t>
      </w:r>
      <w:proofErr w:type="gram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er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en spesialisering av superklassen. Dette i motsetning til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has a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–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relationship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som betyr at an klasse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benytter seg av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en annen klasse.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gram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super(</w:t>
      </w:r>
      <w:proofErr w:type="gram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)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 (I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konstruktør): Kaller på superklassens konstruktør. Kan inneholde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parametre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Eks: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super(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author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)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kaller på superklassens konstruktør med parameteren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author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Husk å kalle på superklassens konstruktør først i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konstruktør.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Subtype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–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Subtype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Klasser er også typer.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er en type.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er også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subtype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av typen som superklassen definerer.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Assign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– tilordne: Når vi gir en variabel en verdi, så sier vi at vi tilordner den en verdi. Eks: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int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i = 0;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variabelen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i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tilordnes verdien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0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En variabel må tilordnes en verdi av deklarert type </w:t>
      </w:r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 xml:space="preserve">eller en </w:t>
      </w:r>
      <w:proofErr w:type="spellStart"/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>subtype</w:t>
      </w:r>
      <w:proofErr w:type="spellEnd"/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 xml:space="preserve"> av denne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Polymorph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(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many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shapes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) – polymorf (flere former): En variable av en type (eks </w:t>
      </w:r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Post</w:t>
      </w:r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) er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polymorfisk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fordi den kan tilordnes typen </w:t>
      </w:r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Post</w:t>
      </w:r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eller en </w:t>
      </w:r>
      <w:proofErr w:type="spellStart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subtype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av </w:t>
      </w:r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Post</w:t>
      </w:r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(Eks: </w:t>
      </w:r>
      <w:proofErr w:type="spellStart"/>
      <w:r w:rsidRPr="00A50874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MessagePost</w:t>
      </w:r>
      <w:proofErr w:type="spellEnd"/>
      <w:r w:rsidRPr="00A50874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). Den kan altså holde i flere ulike typer objekter.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Substitution</w:t>
      </w:r>
      <w:proofErr w:type="spellEnd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– substitusjon: Når vi bruker en </w:t>
      </w:r>
      <w:proofErr w:type="spellStart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subtype</w:t>
      </w:r>
      <w:proofErr w:type="spellEnd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der vi har deklarert plass til en supertype. Eks: </w:t>
      </w:r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Post </w:t>
      </w:r>
      <w:proofErr w:type="spellStart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post</w:t>
      </w:r>
      <w:proofErr w:type="spellEnd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= </w:t>
      </w:r>
      <w:proofErr w:type="spellStart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new</w:t>
      </w:r>
      <w:proofErr w:type="spellEnd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</w:t>
      </w:r>
      <w:proofErr w:type="spellStart"/>
      <w:proofErr w:type="gramStart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MessagePost</w:t>
      </w:r>
      <w:proofErr w:type="spellEnd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(</w:t>
      </w:r>
      <w:proofErr w:type="gramEnd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);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Cast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cast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Hvis vi vet at et objekt i realiteten er et mer spesialisert objekt (en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subtype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), så kan vi velge å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caste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Det gjøres ved å presisere typen du skal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caste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til mellom to parenteser. Eks (vi vet at objektet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post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er av typen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MessagePost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):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val="en-US" w:eastAsia="nb-NO"/>
        </w:rPr>
      </w:pP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val="en-US" w:eastAsia="nb-NO"/>
        </w:rPr>
        <w:t xml:space="preserve">MessagePost messagePost = </w:t>
      </w:r>
      <w:r w:rsidRPr="007B5A3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nb-NO"/>
        </w:rPr>
        <w:t>(MessagePost)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val="en-US" w:eastAsia="nb-NO"/>
        </w:rPr>
        <w:t xml:space="preserve"> post;</w:t>
      </w:r>
    </w:p>
    <w:p w:rsidR="007B5A3F" w:rsidRPr="007B5A3F" w:rsidRDefault="007B5A3F" w:rsidP="007B5A3F">
      <w:pPr>
        <w:spacing w:before="24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val="en-US" w:eastAsia="nb-NO"/>
        </w:rPr>
      </w:pPr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val="en-US" w:eastAsia="nb-NO"/>
        </w:rPr>
        <w:t>More about inheritance (ch 11)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bookmarkStart w:id="0" w:name="_GoBack"/>
      <w:bookmarkEnd w:id="0"/>
      <w:proofErr w:type="spellStart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static</w:t>
      </w:r>
      <w:proofErr w:type="spellEnd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type - statisk type: Statisk betyr noe som ikke forandrer seg. Den statiske typen til en variabel er den typen variabel er deklarert som. Eks: </w:t>
      </w:r>
      <w:proofErr w:type="spellStart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Vehicle</w:t>
      </w:r>
      <w:proofErr w:type="spellEnd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 xml:space="preserve"> </w:t>
      </w:r>
      <w:proofErr w:type="gramStart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v</w:t>
      </w:r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;.</w:t>
      </w:r>
      <w:proofErr w:type="gramEnd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 xml:space="preserve"> Den statiske typen til variabelen er </w:t>
      </w:r>
      <w:proofErr w:type="spellStart"/>
      <w:r w:rsidRPr="00230EC2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lang w:eastAsia="nb-NO"/>
        </w:rPr>
        <w:t>Vehicle</w:t>
      </w:r>
      <w:proofErr w:type="spellEnd"/>
      <w:r w:rsidRPr="00230EC2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nb-NO"/>
        </w:rPr>
        <w:t>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dynamic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type - dynamisk type: Dynamisk er det motsatte av statisk. Da kan altså noe endre eller utvikle seg. Den dynamiske typen til en variabel er den typen variabelen har for øyeblikket. Variabler er jo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polymorfiske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; de kan holde objekter av forskjellige typer.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overriding - overstyring: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kan overstyre en metode i superklassen. Metoden må ha samme navn (og resterende signatur) som i superklassen. Metoden i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vil da ha prioritet foran metoden med samme signatur i superklassen. Bruk gjerne annotasjonen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@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Override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over metoden i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for å tydeliggjøre at dette er en metode som overstyrer en annen.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lastRenderedPageBreak/>
        <w:t>signature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signatur: metodenavn og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parametre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Eks: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public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void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gram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display(</w:t>
      </w:r>
      <w:proofErr w:type="spellStart"/>
      <w:proofErr w:type="gram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String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s)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Signaturen er navnet “display” og en parameter av typen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String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private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String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gram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display(</w:t>
      </w:r>
      <w:proofErr w:type="spellStart"/>
      <w:proofErr w:type="gram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String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string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)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har altså samme signatur.</w:t>
      </w:r>
    </w:p>
    <w:p w:rsidR="007B5A3F" w:rsidRPr="007B5A3F" w:rsidRDefault="007B5A3F" w:rsidP="007B5A3F">
      <w:pPr>
        <w:spacing w:before="24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Further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abstraction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techniques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(</w:t>
      </w: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kap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12)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Abstract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class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abstrakt klasse: En klasse som det </w:t>
      </w:r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 xml:space="preserve">ikke 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er tiltenkt å lage instanser av. Den skal fungerer som superklasse for andre klasser. Den inneholder gjerne abstrakte metoder.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Abstract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method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abstrakt metode: Metode uten “kropp” (innhold). Innholdet defineres i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. Abstrakte metoder kan kun ligge i abstrakte klasser.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Abstract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subclass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abstrakt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som </w:t>
      </w:r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 xml:space="preserve">ikke 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implementerer alle abstrakte metoder i superklassen.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Subklassen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blir abstrakt ettersom den da inneholder minst én abstrakt metode. 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Multiple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inheritence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multippel arv: Å arve fra flere superklasser. I Java kan en klasse ikke arve fra mer enn én klasse, men den kan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 xml:space="preserve">implementere 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flere </w:t>
      </w:r>
      <w:proofErr w:type="spellStart"/>
      <w:proofErr w:type="gram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…</w:t>
      </w:r>
      <w:proofErr w:type="gramEnd"/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Interface - grensesnitt (sier gjerne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på norsk): Spesifikasjon av en type. Har som regel ikke noe implementasjon.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Implement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implemenetere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Iverksette - realisere. Når vi i en klasse beskriver en klasse slik: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class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ClassName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implements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InterfaceName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, så medfører det at klassen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ClassName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 xml:space="preserve">må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implemenetere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spesifikasjonen vi finner i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InterfaceName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. Hvis den ikke gjør det, så vil ikke koden kompilere.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Functional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funksjonelt grensesnitt: Et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som kun inneholder beskrivelse av én abstrakt metode i spesifikasjonen. Dette medfører at vi kan implementere grensesnittet via et lambda-uttrykk.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val="en-US"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Lambda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expression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lambda-uttrykk: En måte å uttrykke en funksjon på. Dette kan gi oss enklere kode. Syntaksen ser slik ut: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(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&lt;input - eventuelle argumenter&gt;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)-&gt;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&lt;hva funksjonen skal gjøre&gt;. 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val="en-US" w:eastAsia="nb-NO"/>
        </w:rPr>
        <w:t xml:space="preserve">Eks: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val="en-US" w:eastAsia="nb-NO"/>
        </w:rPr>
        <w:t>(x, y) -&gt; x + y;</w:t>
      </w:r>
    </w:p>
    <w:p w:rsidR="007B5A3F" w:rsidRPr="007B5A3F" w:rsidRDefault="007B5A3F" w:rsidP="007B5A3F">
      <w:pPr>
        <w:spacing w:before="24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val="en-US" w:eastAsia="nb-NO"/>
        </w:rPr>
      </w:pPr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val="en-US" w:eastAsia="nb-NO"/>
        </w:rPr>
        <w:t>Building graphical user interfaces (kap 13)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GUI (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Graphical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User Interface) - Grafisk brukergrensesnitt: Det stedet der brukeren møter programmet. Det inneholder visuelle elementer som forenkler brukerens interaksjon med programmet (knapper, menyer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etc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). Det er derfor et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grafisk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grensesnitt.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Component - komponent: Et element i brukergrensesnittet (knapp, tekstfelt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etc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).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Layout - layout: Hvordan komponentene er plassert ut i brukergrensesnittet. Vi bruker egne komponenter (layout komponenter) til dette.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Nested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layout - nøstet layout: Noen ganger må vi benytte layout-komponenter inne i andre layout-komponenter for å få til ønsket grensesnitt. Da kaller vi det </w:t>
      </w:r>
      <w:proofErr w:type="gram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en nøstet layout</w:t>
      </w:r>
      <w:proofErr w:type="gram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Stage - scene (som i den fysiske arenaen i et teater): Den ytre rammen i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JavaFX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-applikasjon. I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JavaFX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arver vi fra den abstrakte klassen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Application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Da må vi implementere metoden </w:t>
      </w:r>
      <w:proofErr w:type="gram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start(</w:t>
      </w:r>
      <w:proofErr w:type="gram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Stage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primaryStage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)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Vi har altså alltid en </w:t>
      </w:r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Stage 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 en applikasjon (program), men vi kan velge å benytte flere.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Scene - scene (som i en spesifikk del av et skuespill. Eks: Scene 1): Der vi tegner opp brukergrensesnittet vårt. Vi kan ha flere Scenes i en Stage, men vi kan bare vise en av gangen.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Scene-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graph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Scene-graf: Alle komponenter i en Scene må være koblet sammen i en graf. Denne grafen må ha en rot-komponent.  Komponentene i grafen kalles gjerne noder. 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lastRenderedPageBreak/>
        <w:t>Node - node: Vanlig betegnelse for et element i en struktur innen informatikk. Eks: Noder i en scene-graf.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Event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hendelse: Noe som skjer i brukergrensesnittet. Eks: Brukeren klikker på en knapp. Da fyres det av gårde en hendelse som noen (komponenter) kan lytte etter. Når en hendelse inntreffer har programmet gjerne egne “handlers - behandlere” for å ta seg av hendelsen.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EventHandler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hendelses-</w:t>
      </w:r>
      <w:proofErr w:type="gram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behandler(</w:t>
      </w:r>
      <w:proofErr w:type="gram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sier gjerne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EventHandler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på norsk): Kode som tar seg av hendelsen. Denne koden er gjerne samlet i en klasse eller et lambda-uttrykk.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Inner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class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indre klasse: En klasse inne i en klasse. Den indre klassen har tilgang til alle instansvariabler og metoder i den omsluttende klassen.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Anonymous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inner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class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anonym indre klasse: En indre klasse med en spesiell syntaks som kan benyttes for å implementere klassen på en enkel måte. Vi er ikke interessert i å gi den indre klassen et navn. Vi bruker gjerne anonyme indre klasser for å direkte vise implementasjon av de abstrakte metodene i et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Dette var mer vanlig før Java 8. Nå er det vanligere å benytte lambda-uttrykk, men det kan vi jo bare når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er funksjonelt.</w:t>
      </w:r>
    </w:p>
    <w:p w:rsidR="007B5A3F" w:rsidRPr="007B5A3F" w:rsidRDefault="007B5A3F" w:rsidP="007B5A3F">
      <w:pPr>
        <w:spacing w:before="24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nb-NO"/>
        </w:rPr>
      </w:pPr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Handling </w:t>
      </w: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errors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(</w:t>
      </w:r>
      <w:proofErr w:type="spellStart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>Kap</w:t>
      </w:r>
      <w:proofErr w:type="spellEnd"/>
      <w:r w:rsidRPr="007B5A3F">
        <w:rPr>
          <w:rFonts w:ascii="Calibri" w:eastAsia="Times New Roman" w:hAnsi="Calibri" w:cs="Calibri"/>
          <w:color w:val="2E75B5"/>
          <w:kern w:val="36"/>
          <w:sz w:val="32"/>
          <w:szCs w:val="32"/>
          <w:lang w:eastAsia="nb-NO"/>
        </w:rPr>
        <w:t xml:space="preserve"> 14)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Exception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unntak: Et objekt som omhandler et unntak for normal kjøring av en kodesnutt (noe som har skjedd i en metode). Unntaket kastes og kan fanges for å behandles.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Unchecked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exception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Et unntak som kompilatoren </w:t>
      </w:r>
      <w:r w:rsidRPr="007B5A3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>ikke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sjekker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Skyldes gjerne feil fra programmererens side. Unntak som arver fra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RuntimeException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. Ikke meningen at vi skal kunne håndtere disse på en hensiktsmessig måte.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Checked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exception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: Et unntak som kompilatoren </w:t>
      </w:r>
      <w:r w:rsidRPr="007B5A3F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sjekker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Unntak som arver fra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Exception</w:t>
      </w:r>
      <w:proofErr w:type="spellEnd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 xml:space="preserve"> </w:t>
      </w:r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(men ikke fra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RuntimeException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). Unntak som gjerne ikke skyldes feil fra programmereren. Unntak som vi vil forsøke å håndtere på en hensiktsmessig måte.</w:t>
      </w:r>
    </w:p>
    <w:p w:rsidR="007B5A3F" w:rsidRPr="007B5A3F" w:rsidRDefault="007B5A3F" w:rsidP="007B5A3F">
      <w:pPr>
        <w:spacing w:after="160"/>
        <w:rPr>
          <w:rFonts w:ascii="-webkit-standard" w:eastAsia="Times New Roman" w:hAnsi="-webkit-standard" w:cs="Times New Roman"/>
          <w:color w:val="000000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Assertion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Påstand: Vi forsikrer oss om at koden fungerer som tiltenkt, ved å undersøke tilstand via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assertions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Hvis vår påstand ikke er korrekt, så er det noe rart i koden vår (eller påstanden er gal). Disse kan brukes under utvikling av koden, og fjernes før koden skal i produksjon. Hvis påstanden feiler vil det bli kastet en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Assertion-error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.</w:t>
      </w:r>
    </w:p>
    <w:p w:rsidR="007B5A3F" w:rsidRPr="007B5A3F" w:rsidRDefault="007B5A3F" w:rsidP="007B5A3F">
      <w:pPr>
        <w:rPr>
          <w:rFonts w:ascii="Times New Roman" w:eastAsia="Times New Roman" w:hAnsi="Times New Roman" w:cs="Times New Roman"/>
          <w:lang w:eastAsia="nb-NO"/>
        </w:rPr>
      </w:pP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Serialization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- serialisering: Når vi skal “overføre” et objekt på en slik måte at det blir klippet i småbiter og senere satt sammen igjen til nøyaktig samme tilstand: Eks: Skrive/lese til/fra fil. Overføre over nett. Får å få til dette i Java, så må objektet implementere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interfacet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</w:t>
      </w:r>
      <w:proofErr w:type="spellStart"/>
      <w:r w:rsidRPr="007B5A3F">
        <w:rPr>
          <w:rFonts w:ascii="Courier New" w:eastAsia="Times New Roman" w:hAnsi="Courier New" w:cs="Courier New"/>
          <w:color w:val="000000"/>
          <w:sz w:val="22"/>
          <w:szCs w:val="22"/>
          <w:lang w:eastAsia="nb-NO"/>
        </w:rPr>
        <w:t>Serializable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. Det er et snodig </w:t>
      </w:r>
      <w:proofErr w:type="spellStart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interface</w:t>
      </w:r>
      <w:proofErr w:type="spellEnd"/>
      <w:r w:rsidRPr="007B5A3F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da det ikke inneholder noen abstrakte metoder.</w:t>
      </w:r>
    </w:p>
    <w:p w:rsidR="007B5A3F" w:rsidRDefault="007B5A3F"/>
    <w:sectPr w:rsidR="007B5A3F" w:rsidSect="00A16C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3F"/>
    <w:rsid w:val="00230EC2"/>
    <w:rsid w:val="007B5A3F"/>
    <w:rsid w:val="00903AB4"/>
    <w:rsid w:val="00A16C6F"/>
    <w:rsid w:val="00A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E67ACFCB-232E-1142-976D-17C0636A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B5A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5A3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7B5A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1353</Words>
  <Characters>7171</Characters>
  <Application>Microsoft Office Word</Application>
  <DocSecurity>0</DocSecurity>
  <Lines>59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Long Nguyen</dc:creator>
  <cp:keywords/>
  <dc:description/>
  <cp:lastModifiedBy>Andy Long Nguyen</cp:lastModifiedBy>
  <cp:revision>3</cp:revision>
  <dcterms:created xsi:type="dcterms:W3CDTF">2018-05-21T12:54:00Z</dcterms:created>
  <dcterms:modified xsi:type="dcterms:W3CDTF">2018-06-05T10:31:00Z</dcterms:modified>
</cp:coreProperties>
</file>