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52"/>
        </w:rPr>
        <w:t>Freight Intelligence</w:t>
      </w:r>
    </w:p>
    <w:p>
      <w:pPr>
        <w:spacing w:after="200"/>
      </w:pPr>
      <w:r>
        <w:rPr>
          <w:rFonts w:ascii="Calibri" w:hAnsi="Calibri" w:eastAsia="Microsoft YaHei"/>
          <w:b/>
          <w:color w:val="1F4D78"/>
          <w:sz w:val="30"/>
        </w:rPr>
        <w:t>内网发布与 PostgreSQL 优化方案</w:t>
      </w:r>
    </w:p>
    <w:p>
      <w:r>
        <w:rPr>
          <w:rFonts w:ascii="Calibri" w:hAnsi="Calibri" w:eastAsia="Microsoft YaHei"/>
          <w:color w:val="64748B"/>
          <w:sz w:val="20"/>
        </w:rPr>
        <w:t>前提：系统发布在公司内网 192.168.72.xx；PostgreSQL 数据库已完成；本文只提供发布与优化建议。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建议结论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公司内网部署可以接 Microsoft Entra SSO。推荐使用内网 DNS 域名 + HTTPS，例如 https://freight-intelligence.company.local/，而不是直接暴露 http://192.168.72.xx。生产访问只开放 443；前端和后端通过反向代理统一成同一个站点；PostgreSQL 保持内网访问，不对公网开放。</w:t>
            </w:r>
          </w:p>
        </w:tc>
      </w:tr>
    </w:tbl>
    <w:p>
      <w:pPr>
        <w:pStyle w:val="Heading1"/>
      </w:pPr>
      <w:r>
        <w:t>1. 内网发布架构建议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推荐配置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优化原因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访问地址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https://freight-intelligence.company.local/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域名比 IP 更利于证书、SSO Redirect URI、缓存和后续迁移。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对外端口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443 HTTPS；80 可选跳转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Microsoft Entra Redirect URI 推荐 HTTPS；生产不建议使用 HTTP。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反向代理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Nginx / IIS / Caddy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统一前端静态文件和 /api，隐藏 5173/8010 等开发端口。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前端发布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frontend/dist 静态文件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生产不运行 Vite dev server。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后端 API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Django 内网端口，例如 127.0.0.1:8010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只允许反向代理访问，减少攻击面。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PostgreSQL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沿用已完成数据库，内网 5432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只允许应用服务器和管理机访问。</w:t>
            </w:r>
          </w:p>
        </w:tc>
      </w:tr>
    </w:tbl>
    <w:p/>
    <w:p>
      <w:pPr>
        <w:pStyle w:val="Heading1"/>
      </w:pPr>
      <w:r>
        <w:t>2. Microsoft Entra SSO 内网配置要点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Microsoft 不需要从公网访问你的内网服务器；登录完成后是用户浏览器跳回你的内网 URL。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Redirect URI 必须与浏览器实际访问地址完全一致，包括协议、域名/IP、端口和末尾路径。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推荐 Redirect URI：https://freight-intelligence.company.local/；如果使用 IP，则必须是 https://192.168.72.xx/。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如果使用 IP 证书，证书 Subject Alternative Name 必须包含该 IP；否则浏览器会提示证书不可信，SSO 体验会受影响。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前端 VITE_MSAL_SCOPE 继续使用 api://&lt;client-id&gt;/access_as_user；后端 MSAL_AUDIENCE 使用 api://&lt;client-id&gt;。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正式环境将 AUTH_ALLOW_DEV_USER=False，避免未带 token 时进入开发管理员 fallback。</w:t>
      </w:r>
    </w:p>
    <w:p>
      <w:pPr>
        <w:pStyle w:val="Heading1"/>
      </w:pPr>
      <w:r>
        <w:t>3. 应用服务器推荐规格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21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CPU / RAM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磁盘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UAT / 展示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 vCPU / 16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100-200 GB SSD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演示、SSO 验证、少量订单同步。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生产起步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 vCPU / 32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200-500 GB SSD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适合前端、Django API、同步任务和普通报价计算。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批量审计较多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8-12 vCPU / 32-64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500 GB SSD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建议拆出 Celery/worker 或独立批处理进程。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数据库同机临时方案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 vCPU / 64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TB NVMe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可以起步，但长期建议应用和数据库分离。</w:t>
            </w:r>
          </w:p>
        </w:tc>
      </w:tr>
    </w:tbl>
    <w:p/>
    <w:p>
      <w:pPr>
        <w:pStyle w:val="Heading1"/>
      </w:pPr>
      <w:r>
        <w:t>4. PostgreSQL 已完成后的优先优化清单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优化项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慢查询监控 + pg_stat_statements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先知道慢在哪里，再做索引和分区。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关键查询组合索引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支撑订单、tracking、账单、报价和 audit matrix 查询。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连接池 PgBouncer / Django CONN_MAX_AGE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避免大量短连接拖垮数据库。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大表分区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历史订单、invoice detail、quote trace、audit result 按月份或季度管理。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批量同步 staging table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ERP/WMS/InvoiceReader 数据先入 staging，再 merge/upsert。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定期 VACUUM / ANALYZE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保持查询计划准确，减少膨胀。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物化视图 / 汇总表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Dashboard、订单统计和对账汇总不直接扫明细表。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冷热数据归档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保留业务必要查询，压缩长期历史和 trace 日志成本。</w:t>
            </w:r>
          </w:p>
        </w:tc>
      </w:tr>
    </w:tbl>
    <w:p/>
    <w:p>
      <w:pPr>
        <w:pStyle w:val="Heading1"/>
      </w:pPr>
      <w:r>
        <w:t>5. 建议索引方向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数据域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建议索引字段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订单主表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erp_order_no, platform_order_no, rd3_order_id, platform_id, warehouse_id, created_at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订单列表、平台筛选、历史查询。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订单发货/tracking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tracking_no, carrier_id, order_id, shipped_at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Invoice matching 和 audit tracking 排序。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订单 SKU 明细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order_id, sku, sku_type, category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批量报价、SKU 维度分析。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Invoice header/detail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invoice_source_id, invoice_date, tracking_no, carrier/service, batch_id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按账单批次、来源、tracking 匹配实际费用。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报价结果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quote_run_id, order_id, tracking_no, carrier_id, status, created_at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报价历史、audit matrix、异常排查。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报价轨迹日志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quote_result_id, order_id, tracking_no, created_at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 页面和历史诊断。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费率表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carrier_id, service_id, warehouse_id, zone_code, effective_from, effective_to, is_active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快速匹配当前有效 rate card/rule。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SKU Master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sku, sku_type, category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Manual Quote 搜索和 SKU/Combo SKU 查询。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搜索优化补充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0"/>
              </w:rPr>
              <w:t>列表页如果需要全库模糊搜索 SKU、订单号、tracking、平台订单号，建议启用 pg_trgm 扩展，并为高频文本字段创建 GIN trigram 索引。不要只在前端搜索当前页数据。</w:t>
            </w:r>
          </w:p>
        </w:tc>
      </w:tr>
    </w:tbl>
    <w:p>
      <w:pPr>
        <w:pStyle w:val="Heading1"/>
      </w:pPr>
      <w:r>
        <w:t>6. 分区与归档建议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historical_order、invoice_reconciliation_item、quote_trace_log、freight_audit_result 这类持续增长表，建议按 created_at / invoice_date 做月度或季度分区。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quote_trace_log 体积增长最快，建议保留最近 6-12 个月明细；更早数据转 archive 表或压缩备份。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invoice detail 和 audit result 保留业务追溯周期，例如 24-36 个月；超过周期后转只读归档。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分区表需要配套本地索引，避免全分区扫描。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历史回算时必须根据订单日期匹配对应 effective_from/effective_to 的 rate card，不要只取当前 active rate。</w:t>
      </w:r>
    </w:p>
    <w:p>
      <w:pPr>
        <w:pStyle w:val="Heading1"/>
      </w:pPr>
      <w:r>
        <w:t>7. 批量同步与报价计算优化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ERP/WMS/InvoiceReader 同步使用 watermark 增量字段，例如 updated_at、source_updated_at 或 invoice_date。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批量导入建议每批 1,000-5,000 行，使用 bulk insert/upsert，避免逐行 save。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大批量订单审计不要在 Web 请求中同步计算，应进入后台任务队列。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Freight Audit Matrix 建议按 order 或 consignment 聚合后计算，避免同一订单多个 tracking 重复拉取 SKU 和地址数据。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系统报价结果要保存 snapshot：SKU 尺寸、数量、地址、warehouse、platform、rate card version、breakdown 和 trace。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API 型快递报价需要缓存 request/response 摘要，避免同一个订单重复调用外部 API。</w:t>
      </w:r>
    </w:p>
    <w:p>
      <w:pPr>
        <w:pStyle w:val="Heading1"/>
      </w:pPr>
      <w:r>
        <w:t>8. PostgreSQL 参数起步建议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32 GB RAM 数据库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64 GB RAM 数据库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shared_buffers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一般取内存约 25%。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effective_cache_size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24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48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帮助优化器估算可用缓存。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work_mem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16-32 MB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32-64 MB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按并发谨慎调大，避免内存爆掉。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maintenance_work_mem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 GB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用于建索引、VACUUM 等维护。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max_connections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100 或更低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100 或更低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配合 PgBouncer，避免连接过多。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wal_compression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降低大量导入/更新时 WAL 体积。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autovacuum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on，并调优阈值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on，并调优阈值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大表必须依赖 autovacuum 保持健康。</w:t>
            </w:r>
          </w:p>
        </w:tc>
      </w:tr>
    </w:tbl>
    <w:p/>
    <w:p>
      <w:pPr>
        <w:pStyle w:val="Heading1"/>
      </w:pPr>
      <w:r>
        <w:t>9. 备份、监控与维护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开启每日备份，生产建议支持 PITR（Point-in-Time Recovery）。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备份保留至少覆盖一个完整账单争议周期；建议不少于 30-90 天。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监控 CPU、RAM、磁盘容量、IOPS、连接数、慢查询、表膨胀、autovacuum 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上线后每周审查 pg_stat_statements 前 20 条慢查询，并根据真实查询模式补索引。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建立数据保留策略：quote trace、audit result、invoice detail 不应无限增长。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1F2937"/>
          <w:sz w:val="22"/>
        </w:rPr>
        <w:t>对大索引维护使用 CREATE INDEX CONCURRENTLY / REINDEX CONCURRENTLY，避免长时间锁表。</w:t>
      </w:r>
    </w:p>
    <w:p>
      <w:pPr>
        <w:pStyle w:val="Heading1"/>
      </w:pPr>
      <w:r>
        <w:t>10. 内网安全边界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1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数据库访问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PostgreSQL 5432 仅允许应用服务器、DBA 管理机或 VPN 管理段访问。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应用访问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用户只访问 HTTPS 443；不要开放 Django 8010 或 Vite 5173。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证书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使用公司 CA 或受信任证书；如果用 IP，证书 SAN 必须包含 IP。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关闭 AUTH_ALLOW_DEV_USER；保留强密码本地 break-glass 管理员。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通过 Users &amp; Roles 分配角色；导出、对账、费率管理建议保留审计日志。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不要在日志中输出数据库密码、完整 access token 或敏感 invoice 原文。</w:t>
            </w:r>
          </w:p>
        </w:tc>
      </w:tr>
    </w:tbl>
    <w:p/>
    <w:p>
      <w:pPr>
        <w:pStyle w:val="Heading1"/>
      </w:pPr>
      <w:r>
        <w:t>11. 推荐实施顺序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第一阶段：内网域名、HTTPS、反向代理、生产 .env、关闭 dev fallback。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第二阶段：配置 Entra Redirect URI、API Scope、用户 Entra 关联，验证一键登录和 silent login。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第三阶段：开启 pg_stat_statements，记录真实慢查询。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第四阶段：补齐订单、tracking、invoice、quote、rate card 的关键组合索引。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第五阶段：把历史订单、invoice detail、quote trace、audit result 规划成分区或 archive。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第六阶段：把大批量同步和 audit matrix 计算迁移到后台任务队列。</w:t>
      </w:r>
    </w:p>
    <w:p>
      <w:pPr>
        <w:pStyle w:val="ListNumber"/>
        <w:spacing w:after="80"/>
      </w:pPr>
      <w:r>
        <w:rPr>
          <w:rFonts w:ascii="Calibri" w:hAnsi="Calibri" w:eastAsia="Microsoft YaHei"/>
          <w:color w:val="1F2937"/>
          <w:sz w:val="22"/>
        </w:rPr>
        <w:t>第七阶段：建立备份、恢复演练、慢查询巡检和容量告警。</w:t>
      </w:r>
    </w:p>
    <w:p>
      <w:pPr>
        <w:pStyle w:val="Heading1"/>
      </w:pPr>
      <w:r>
        <w:t>12. 参考资料</w:t>
      </w:r>
    </w:p>
    <w:p>
      <w:pPr>
        <w:pStyle w:val="ListBullet"/>
      </w:pPr>
      <w:hyperlink r:id="rId9">
        <w:r>
          <w:rPr>
            <w:color w:val="0563C1"/>
            <w:u w:val="single"/>
          </w:rPr>
          <w:t>Microsoft Redirect URI best practices and limitations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https://learn.microsoft.com/en-us/entra/identity-platform/reply-url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MSAL.js single sign-on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https://learn.microsoft.com/en-us/entra/identity-platform/msal-js-sso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Microsoft access token validation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https://learn.microsoft.com/en-us/entra/identity-platform/access-tokens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PostgreSQL pg_stat_statements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https://www.postgresql.org/docs/current/pgstatstatements.html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PostgreSQL table partitioning</w:t>
        </w:r>
      </w:hyperlink>
      <w:r>
        <w:rPr>
          <w:rFonts w:ascii="Calibri" w:hAnsi="Calibri" w:eastAsia="Microsoft YaHei"/>
          <w:color w:val="64748B"/>
          <w:sz w:val="20"/>
        </w:rPr>
        <w:t xml:space="preserve"> - https://www.postgresql.org/docs/current/ddl-partitioning.html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n-us/entra/identity-platform/reply-url" TargetMode="External"/><Relationship Id="rId10" Type="http://schemas.openxmlformats.org/officeDocument/2006/relationships/hyperlink" Target="https://learn.microsoft.com/en-us/entra/identity-platform/msal-js-sso" TargetMode="External"/><Relationship Id="rId11" Type="http://schemas.openxmlformats.org/officeDocument/2006/relationships/hyperlink" Target="https://learn.microsoft.com/en-us/entra/identity-platform/access-tokens" TargetMode="External"/><Relationship Id="rId12" Type="http://schemas.openxmlformats.org/officeDocument/2006/relationships/hyperlink" Target="https://www.postgresql.org/docs/current/pgstatstatements.html" TargetMode="External"/><Relationship Id="rId13" Type="http://schemas.openxmlformats.org/officeDocument/2006/relationships/hyperlink" Target="https://www.postgresql.org/docs/current/ddl-partition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Intelligence 内网发布与 PostgreSQL 优化方案</dc:title>
  <dc:subject>Intranet deployment, Microsoft Entra SSO, PostgreSQL optimization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